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S.R.</w:t>
      </w:r>
      <w:r xml:space="preserve">
        <w:t> </w:t>
      </w:r>
      <w:r>
        <w:t xml:space="preserve">No.</w:t>
      </w:r>
      <w:r xml:space="preserve">
        <w:t> </w:t>
      </w:r>
      <w:r>
        <w:t xml:space="preserve">300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SENATE RESOLUTION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RESOLVED by the Senate of the State of Texas, That the Rules of the Senate, 86th Legislature, be amended by amending Rule 11.02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Rule 11.02 is amended to read as follows:</w:t>
      </w:r>
    </w:p>
    <w:p w:rsidR="003F3435" w:rsidRDefault="0032493E">
      <w:pPr>
        <w:spacing w:line="480" w:lineRule="auto"/>
        <w:jc w:val="center"/>
      </w:pPr>
      <w:r>
        <w:t xml:space="preserve">LIST OF STANDING COMMITTEES AND SUBCOMMITTEES</w:t>
      </w:r>
    </w:p>
    <w:p w:rsidR="003F3435" w:rsidRDefault="0032493E">
      <w:pPr>
        <w:spacing w:line="480" w:lineRule="auto"/>
        <w:ind w:firstLine="720"/>
        <w:jc w:val="both"/>
      </w:pPr>
      <w:r>
        <w:t xml:space="preserve">Rule</w:t>
      </w:r>
      <w:r xml:space="preserve">
        <w:t> </w:t>
      </w:r>
      <w:r>
        <w:t xml:space="preserve">11.02.</w:t>
      </w:r>
      <w:r xml:space="preserve">
        <w:t> </w:t>
      </w:r>
      <w:r xml:space="preserve">
        <w:t> </w:t>
      </w:r>
      <w:r>
        <w:t xml:space="preserve">At the beginning of each regular session, the President shall appoint the following standing committees with the number of members indicated:</w:t>
      </w:r>
    </w:p>
    <w:p w:rsidR="003F3435" w:rsidRDefault="0032493E">
      <w:pPr>
        <w:spacing w:line="480" w:lineRule="auto"/>
        <w:jc w:val="center"/>
      </w:pPr>
      <w:r>
        <w:t xml:space="preserve">STANDING COMMITTEES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Committee on Administration (7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Committee on Agriculture (5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Committee on Business and Commerce (9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Committee on Criminal Justice (7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Committee on Education (11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Committee on Finance (15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Committee on Health and Human Services (9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Committee on Higher Education </w:t>
      </w:r>
      <w:r>
        <w:rPr>
          <w:u w:val="single"/>
        </w:rPr>
        <w:t xml:space="preserve">(9 members)</w:t>
      </w:r>
      <w:r>
        <w:t xml:space="preserve"> [</w:t>
      </w:r>
      <w:r>
        <w:rPr>
          <w:strike/>
        </w:rPr>
        <w:t xml:space="preserve">(7 members)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Committee on Intergovernmental Relations (7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Committee on Natural Resources and Economic Development (11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Committee on Nominations (7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Committee on Property Tax (5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Committee on State Affairs (9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(14)</w:t>
      </w:r>
      <w:r xml:space="preserve">
        <w:t> </w:t>
      </w:r>
      <w:r xml:space="preserve">
        <w:t> </w:t>
      </w:r>
      <w:r>
        <w:t xml:space="preserve">Committee on Transportation (9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(15)</w:t>
      </w:r>
      <w:r xml:space="preserve">
        <w:t> </w:t>
      </w:r>
      <w:r xml:space="preserve">
        <w:t> </w:t>
      </w:r>
      <w:r>
        <w:t xml:space="preserve">Committee on Veteran Affairs and Border Security (7 members)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(16)</w:t>
      </w:r>
      <w:r xml:space="preserve">
        <w:t> </w:t>
      </w:r>
      <w:r xml:space="preserve">
        <w:t> </w:t>
      </w:r>
      <w:r>
        <w:t xml:space="preserve">Committee on Water and Rural Affairs (7 members).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4320"/>
        <w:jc w:val="left"/>
      </w:pPr>
      <w:r>
        <w:t xml:space="preserve">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27, 2019, by the </w:t>
      </w:r>
      <w:r>
        <w:t xml:space="preserve">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300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