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430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The Senate of the State of Texas is pleased to welcome the visiting delegation from Alzheimer's Texas and to proclaim April 3, 2019, as Alzheimer's Awareness Day in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Alzheimer's disease is a progressive, degenerative disease of the brain's nerve cells that results in impaired memory, thinking, and behavior, and it is the most common cause of dementia;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Approximately 10 percent of adults over the age of 65 have Alzheimer's disease, and the disease is the sixth-leading cause of death in the United States;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Alzheimer's disease affects an estimated 380,000 Texans, and that number is expected to rise to 490,000 by 2025;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Extensive research has been conducted since Dr.</w:t>
      </w:r>
      <w:r xml:space="preserve">
        <w:t> </w:t>
      </w:r>
      <w:r>
        <w:t xml:space="preserve">Alois Alzheimer first described the symptoms and the disease more than 100 years ago, and several promising drug treatments have been introduced that delay the onset of disease symptoms;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Alzheimer's Texas provides information, assistance, and support for persons who have Alzheimer's disease or related dementias; the organization also serves caregivers, professionals, and family members of those affected by the disease and works to raise public awareness about the disease;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 worthy efforts of Alzheimer's Texas and recognize April 3, 2019, as Alzheimer's Awareness Day in Texas;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in honor of Alzheimer's Awareness Day.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Campbell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19,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430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