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534</w:t>
      </w:r>
    </w:p>
    <w:p w:rsidR="003F3435" w:rsidRDefault="0032493E">
      <w:pPr>
        <w:spacing w:line="480" w:lineRule="auto"/>
        <w:ind w:firstLine="720"/>
        <w:jc w:val="both"/>
      </w:pPr>
      <w:r>
        <w:rPr>
          <w:b/>
        </w:rPr>
        <w:t xml:space="preserve">WHEREAS</w:t>
      </w:r>
      <w:r>
        <w:t xml:space="preserve">, The Senate of the State of Texas is pleased to join the Texas Retired Teachers Association and Texans across the state in celebrating April 1 through 5, 2019, as Texas Retired Teachers Week; and</w:t>
      </w:r>
    </w:p>
    <w:p w:rsidR="003F3435" w:rsidRDefault="0032493E">
      <w:pPr>
        <w:spacing w:line="480" w:lineRule="auto"/>
        <w:ind w:firstLine="720"/>
        <w:jc w:val="both"/>
      </w:pPr>
      <w:r>
        <w:rPr>
          <w:b/>
        </w:rPr>
        <w:t xml:space="preserve">WHEREAS</w:t>
      </w:r>
      <w:r>
        <w:t xml:space="preserve">, The people of Texas take great pride in the state's public educators and in the indispensable services they provide to citizens; the Texas Retired Teachers Association was established to represent the state's current and future public education retirees; and</w:t>
      </w:r>
    </w:p>
    <w:p w:rsidR="003F3435" w:rsidRDefault="0032493E">
      <w:pPr>
        <w:spacing w:line="480" w:lineRule="auto"/>
        <w:ind w:firstLine="720"/>
        <w:jc w:val="both"/>
      </w:pPr>
      <w:r>
        <w:rPr>
          <w:b/>
        </w:rPr>
        <w:t xml:space="preserve">WHEREAS</w:t>
      </w:r>
      <w:r>
        <w:t xml:space="preserve">, The association's more than 94,000 members continually work to improve their local communities across the state; through the years, they have provided nearly six million hours of volunteer service, and they have promoted lifelong learning through the Children's Book Project, which has furnished more than one million books to the state's children;</w:t>
      </w:r>
      <w:r xml:space="preserve">
        <w:t> </w:t>
      </w:r>
      <w:r>
        <w:t xml:space="preserve">and</w:t>
      </w:r>
    </w:p>
    <w:p w:rsidR="003F3435" w:rsidRDefault="0032493E">
      <w:pPr>
        <w:spacing w:line="480" w:lineRule="auto"/>
        <w:ind w:firstLine="720"/>
        <w:jc w:val="both"/>
      </w:pPr>
      <w:r>
        <w:rPr>
          <w:b/>
        </w:rPr>
        <w:t xml:space="preserve">WHEREAS</w:t>
      </w:r>
      <w:r>
        <w:t xml:space="preserve">, The association has also been a tireless advocate for the men and women whose efforts as teachers have played such an important role in the growth and prosperity of our state; and</w:t>
      </w:r>
    </w:p>
    <w:p w:rsidR="003F3435" w:rsidRDefault="0032493E">
      <w:pPr>
        <w:spacing w:line="480" w:lineRule="auto"/>
        <w:ind w:firstLine="720"/>
        <w:jc w:val="both"/>
      </w:pPr>
      <w:r>
        <w:rPr>
          <w:b/>
        </w:rPr>
        <w:t xml:space="preserve">WHEREAS</w:t>
      </w:r>
      <w:r>
        <w:t xml:space="preserve">, Throughout its history, the Texas Retired Teachers Association has demonstrated an unwavering commitment to support educators and excellence in education, and its members have made a positive and lasting difference in the lives of countless Texans;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members of the Texas Retired Teachers Association on their many contributions to our state and extend to them best wishes for a productive and rewarding Texas Retired Teachers Week; and, be it further</w:t>
      </w:r>
    </w:p>
    <w:p w:rsidR="003F3435" w:rsidRDefault="0032493E">
      <w:pPr>
        <w:spacing w:line="480" w:lineRule="auto"/>
        <w:ind w:firstLine="720"/>
        <w:jc w:val="both"/>
      </w:pPr>
      <w:r>
        <w:rPr>
          <w:b/>
        </w:rPr>
        <w:t xml:space="preserve">RESOLVED</w:t>
      </w:r>
      <w:r>
        <w:t xml:space="preserve">, That a copy of this Resolution be prepared for the association as an expression of high regard from the Texas</w:t>
      </w:r>
      <w:r xml:space="preserve">
        <w:t> </w:t>
      </w:r>
      <w:r>
        <w:t xml:space="preserve">Senate.</w:t>
      </w:r>
    </w:p>
    <w:p w:rsidR="003F3435" w:rsidRDefault="0032493E">
      <w:pPr>
        <w:spacing w:line="480" w:lineRule="auto"/>
        <w:jc w:val="right"/>
      </w:pPr>
      <w:r>
        <w:t xml:space="preserve">Huffman</w:t>
      </w:r>
    </w:p>
    <w:p w:rsidR="003F3435" w:rsidRDefault="0032493E">
      <w:pPr>
        <w:jc w:val="both"/>
      </w:pPr>
    </w:p>
    <w:tbl>
      <w:tr>
        <w:tc>
          <w:p>
            <w:r>
              <w:t xml:space="preserve">Alvarado</w:t>
            </w:r>
          </w:p>
        </w:tc>
        <w:tc>
          <w:p>
            <w:r>
              <w:t xml:space="preserve">Hinojosa</w:t>
            </w:r>
          </w:p>
        </w:tc>
        <w:tc>
          <w:p>
            <w:r>
              <w:t xml:space="preserve">Perry</w:t>
            </w:r>
          </w:p>
        </w:tc>
      </w:tr>
      <w:tr>
        <w:tc>
          <w:p>
            <w:r>
              <w:t xml:space="preserve">Bettencourt</w:t>
            </w:r>
          </w:p>
        </w:tc>
        <w:tc>
          <w:p>
            <w:r>
              <w:t xml:space="preserve">Hughes</w:t>
            </w:r>
          </w:p>
        </w:tc>
        <w:tc>
          <w:p>
            <w:r>
              <w:t xml:space="preserve">Powell</w:t>
            </w:r>
          </w:p>
        </w:tc>
      </w:tr>
      <w:tr>
        <w:tc>
          <w:p>
            <w:r>
              <w:t xml:space="preserve">Birdwell</w:t>
            </w:r>
          </w:p>
        </w:tc>
        <w:tc>
          <w:p>
            <w:r>
              <w:t xml:space="preserve">Johnson</w:t>
            </w:r>
          </w:p>
        </w:tc>
        <w:tc>
          <w:p>
            <w:r>
              <w:t xml:space="preserve">Rodríguez</w:t>
            </w:r>
          </w:p>
        </w:tc>
      </w:tr>
      <w:tr>
        <w:tc>
          <w:p>
            <w:r>
              <w:t xml:space="preserve">Buckingham</w:t>
            </w:r>
          </w:p>
        </w:tc>
        <w:tc>
          <w:p>
            <w:r>
              <w:t xml:space="preserve">Kolkhorst</w:t>
            </w:r>
          </w:p>
        </w:tc>
        <w:tc>
          <w:p>
            <w:r>
              <w:t xml:space="preserve">Schwertner</w:t>
            </w:r>
          </w:p>
        </w:tc>
      </w:tr>
      <w:tr>
        <w:tc>
          <w:p>
            <w:r>
              <w:t xml:space="preserve">Campbell</w:t>
            </w:r>
          </w:p>
        </w:tc>
        <w:tc>
          <w:p>
            <w:r>
              <w:t xml:space="preserve">Lucio</w:t>
            </w:r>
          </w:p>
        </w:tc>
        <w:tc>
          <w:p>
            <w:r>
              <w:t xml:space="preserve">Seliger</w:t>
            </w:r>
          </w:p>
        </w:tc>
      </w:tr>
      <w:tr>
        <w:tc>
          <w:p>
            <w:r>
              <w:t xml:space="preserve">Creighton</w:t>
            </w:r>
          </w:p>
        </w:tc>
        <w:tc>
          <w:p>
            <w:r>
              <w:t xml:space="preserve">Menéndez</w:t>
            </w:r>
          </w:p>
        </w:tc>
        <w:tc>
          <w:p>
            <w:r>
              <w:t xml:space="preserve">Taylor</w:t>
            </w:r>
          </w:p>
        </w:tc>
      </w:tr>
      <w:tr>
        <w:tc>
          <w:p>
            <w:r>
              <w:t xml:space="preserve">Fallon</w:t>
            </w:r>
          </w:p>
        </w:tc>
        <w:tc>
          <w:p>
            <w:r>
              <w:t xml:space="preserve">Miles</w:t>
            </w:r>
          </w:p>
        </w:tc>
        <w:tc>
          <w:p>
            <w:r>
              <w:t xml:space="preserve">Watson</w:t>
            </w:r>
          </w:p>
        </w:tc>
      </w:tr>
      <w:tr>
        <w:tc>
          <w:p>
            <w:r>
              <w:t xml:space="preserve">Flores</w:t>
            </w:r>
          </w:p>
        </w:tc>
        <w:tc>
          <w:p>
            <w:r>
              <w:t xml:space="preserve">Nelson</w:t>
            </w:r>
          </w:p>
        </w:tc>
        <w:tc>
          <w:p>
            <w:r>
              <w:t xml:space="preserve">West</w:t>
            </w:r>
          </w:p>
        </w:tc>
      </w:tr>
      <w:tr>
        <w:tc>
          <w:p>
            <w:r>
              <w:t xml:space="preserve">Hall</w:t>
            </w:r>
          </w:p>
        </w:tc>
        <w:tc>
          <w:p>
            <w:r>
              <w:t xml:space="preserve">Nichols</w:t>
            </w:r>
          </w:p>
        </w:tc>
        <w:tc>
          <w:p>
            <w:r>
              <w:t xml:space="preserve">Whitmire</w:t>
            </w:r>
          </w:p>
        </w:tc>
      </w:tr>
      <w:tr>
        <w:tc>
          <w:p>
            <w:r>
              <w:t xml:space="preserve">Hancock</w:t>
            </w:r>
          </w:p>
        </w:tc>
        <w:tc>
          <w:p>
            <w:r>
              <w:t xml:space="preserve">Paxton</w:t>
            </w:r>
          </w:p>
        </w:tc>
        <w:tc>
          <w:p>
            <w:r>
              <w:t xml:space="preserve">Zaffirini</w:t>
            </w:r>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