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541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BBQ Is Back Cook-Off and Celebrate Littlefield;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BBQ Is Back Cook-Off and Celebrate Littlefield is held each year in June; it is sanctioned by the International Barbeque Cookers Association as one of the organization's state championship cook-offs;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exemplary event draws accomplished pit masters from across the state who put their skills to the test as they compete for prizes in several categories;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Texans are noted for their love of barbecue, and the BBQ Is Back Cook-Off and Celebrate Littlefield is sure to provide cuisine that will satisfy the most discriminating of palates;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 sponsors of and participants in the BBQ Is Back Cook-Off and Celebrate Littlefield and extend to them best wishes for a successful event;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Perry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541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