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549</w:t>
      </w:r>
    </w:p>
    <w:p w:rsidR="003F3435" w:rsidRDefault="003F3435"/>
    <w:p w:rsidR="003F3435" w:rsidRDefault="0032493E">
      <w:pPr>
        <w:spacing w:line="480" w:lineRule="auto"/>
        <w:ind w:firstLine="720"/>
        <w:jc w:val="both"/>
      </w:pPr>
      <w:r>
        <w:rPr>
          <w:b/>
        </w:rPr>
        <w:t xml:space="preserve">WHEREAS</w:t>
      </w:r>
      <w:r>
        <w:t xml:space="preserve">, The Medal of Honor Host City program in Gainesville is helping to raise awareness of the courage and sacrifice of members of our nation's military; and</w:t>
      </w:r>
    </w:p>
    <w:p w:rsidR="003F3435" w:rsidRDefault="0032493E">
      <w:pPr>
        <w:spacing w:line="480" w:lineRule="auto"/>
        <w:ind w:firstLine="720"/>
        <w:jc w:val="both"/>
      </w:pPr>
      <w:r>
        <w:rPr>
          <w:b/>
        </w:rPr>
        <w:t xml:space="preserve">WHEREAS</w:t>
      </w:r>
      <w:r>
        <w:t xml:space="preserve">, Established by the city council in 2001, the program pays tribute to those who have received the Medal of Honor, the highest award for valor that the country bestows upon members of the armed forces; it is often referred to as the Congressional Medal of Honor, as it is generally presented by the United States president in the name of Congress; and</w:t>
      </w:r>
    </w:p>
    <w:p w:rsidR="003F3435" w:rsidRDefault="0032493E">
      <w:pPr>
        <w:spacing w:line="480" w:lineRule="auto"/>
        <w:ind w:firstLine="720"/>
        <w:jc w:val="both"/>
      </w:pPr>
      <w:r>
        <w:rPr>
          <w:b/>
        </w:rPr>
        <w:t xml:space="preserve">WHEREAS</w:t>
      </w:r>
      <w:r>
        <w:t xml:space="preserve">, The annual program provides a number of opportunities for area residents to meet Medal of Honor recipients and express their appreciation; with a focus on child-friendly activities, the event allows young people to interact with military heroes and learn firsthand the enduring value of discipline, patriotism, and devotion to duty; and</w:t>
      </w:r>
    </w:p>
    <w:p w:rsidR="003F3435" w:rsidRDefault="0032493E">
      <w:pPr>
        <w:spacing w:line="480" w:lineRule="auto"/>
        <w:ind w:firstLine="720"/>
        <w:jc w:val="both"/>
      </w:pPr>
      <w:r>
        <w:rPr>
          <w:b/>
        </w:rPr>
        <w:t xml:space="preserve">WHEREAS</w:t>
      </w:r>
      <w:r>
        <w:t xml:space="preserve">, Each year, the event is supported by numerous volunteers from the community, and others arrive from across the country to assist with this unique initiative; during the 2015 program, Gainesville dedicated the Medal of Honor Park as a monument to all recipients of the medal; and</w:t>
      </w:r>
    </w:p>
    <w:p w:rsidR="003F3435" w:rsidRDefault="0032493E">
      <w:pPr>
        <w:spacing w:line="480" w:lineRule="auto"/>
        <w:ind w:firstLine="720"/>
        <w:jc w:val="both"/>
      </w:pPr>
      <w:r>
        <w:rPr>
          <w:b/>
        </w:rPr>
        <w:t xml:space="preserve">WHEREAS</w:t>
      </w:r>
      <w:r>
        <w:t xml:space="preserve">, The men and women who have received the Medal of Honor exemplify the highest ideals of the United States armed forces, and through the Medal of Honor Host City program, Gainesville residents and visitors express the deep respect and gratitude that selfless military service engenders in the hearts of all Americans; now, therefore, be it</w:t>
      </w:r>
    </w:p>
    <w:p w:rsidR="003F3435" w:rsidRDefault="0032493E">
      <w:pPr>
        <w:spacing w:line="480" w:lineRule="auto"/>
        <w:ind w:firstLine="720"/>
        <w:jc w:val="both"/>
      </w:pPr>
      <w:r>
        <w:rPr>
          <w:b/>
        </w:rPr>
        <w:t xml:space="preserve">RESOLVED</w:t>
      </w:r>
      <w:r>
        <w:t xml:space="preserve">, That the Senate of the State of Texas, 86th Legislature, hereby recognize the Medal of Honor Host City program and commend all those involved in this noteworthy endeavor for their efforts; and, be it further</w:t>
      </w:r>
    </w:p>
    <w:p w:rsidR="003F3435" w:rsidRDefault="0032493E">
      <w:pPr>
        <w:spacing w:line="480" w:lineRule="auto"/>
        <w:ind w:firstLine="720"/>
        <w:jc w:val="both"/>
      </w:pPr>
      <w:r>
        <w:rPr>
          <w:b/>
        </w:rPr>
        <w:t xml:space="preserve">RESOLVED</w:t>
      </w:r>
      <w:r>
        <w:t xml:space="preserve">, That an official copy of this Resolution be prepared for the program as an expression of high regard by the Texas Senate.</w:t>
      </w:r>
    </w:p>
    <w:p w:rsidR="003F3435" w:rsidRDefault="003F3435"/>
    <w:p w:rsidR="003F3435" w:rsidRDefault="0032493E">
      <w:pPr>
        <w:spacing w:line="480" w:lineRule="auto"/>
        <w:jc w:val="right"/>
      </w:pPr>
      <w:r>
        <w:t xml:space="preserve">Fallon</w:t>
      </w:r>
    </w:p>
    <w:p w:rsidR="003F3435" w:rsidRDefault="0032493E">
      <w:pPr>
        <w:jc w:val="both"/>
      </w:pPr>
    </w:p>
    <w:tbl>
      <w:tr>
        <w:tc>
          <w:p>
            <w:r>
              <w:t xml:space="preserve">Alvarado</w:t>
            </w:r>
          </w:p>
        </w:tc>
        <w:tc>
          <w:p>
            <w:r>
              <w:t xml:space="preserve">Huffman</w:t>
            </w:r>
          </w:p>
        </w:tc>
        <w:tc>
          <w:p>
            <w:r>
              <w:t xml:space="preserve">Perry</w:t>
            </w:r>
          </w:p>
        </w:tc>
      </w:tr>
      <w:tr>
        <w:tc>
          <w:p>
            <w:r>
              <w:t xml:space="preserve">Bettencourt</w:t>
            </w:r>
          </w:p>
        </w:tc>
        <w:tc>
          <w:p>
            <w:r>
              <w:t xml:space="preserve">Hughes</w:t>
            </w:r>
          </w:p>
        </w:tc>
        <w:tc>
          <w:p>
            <w:r>
              <w:t xml:space="preserve">Powell</w:t>
            </w:r>
          </w:p>
        </w:tc>
      </w:tr>
      <w:tr>
        <w:tc>
          <w:p>
            <w:r>
              <w:t xml:space="preserve">Birdwell</w:t>
            </w:r>
          </w:p>
        </w:tc>
        <w:tc>
          <w:p>
            <w:r>
              <w:t xml:space="preserve">Johnson</w:t>
            </w:r>
          </w:p>
        </w:tc>
        <w:tc>
          <w:p>
            <w:r>
              <w:t xml:space="preserve">Rodríguez</w:t>
            </w:r>
          </w:p>
        </w:tc>
      </w:tr>
      <w:tr>
        <w:tc>
          <w:p>
            <w:r>
              <w:t xml:space="preserve">Buckingham</w:t>
            </w:r>
          </w:p>
        </w:tc>
        <w:tc>
          <w:p>
            <w:r>
              <w:t xml:space="preserve">Kolkhorst</w:t>
            </w:r>
          </w:p>
        </w:tc>
        <w:tc>
          <w:p>
            <w:r>
              <w:t xml:space="preserve">Schwertner</w:t>
            </w:r>
          </w:p>
        </w:tc>
      </w:tr>
      <w:tr>
        <w:tc>
          <w:p>
            <w:r>
              <w:t xml:space="preserve">Campbell</w:t>
            </w:r>
          </w:p>
        </w:tc>
        <w:tc>
          <w:p>
            <w:r>
              <w:t xml:space="preserve">Lucio</w:t>
            </w:r>
          </w:p>
        </w:tc>
        <w:tc>
          <w:p>
            <w:r>
              <w:t xml:space="preserve">Seliger</w:t>
            </w:r>
          </w:p>
        </w:tc>
      </w:tr>
      <w:tr>
        <w:tc>
          <w:p>
            <w:r>
              <w:t xml:space="preserve">Creighton</w:t>
            </w:r>
          </w:p>
        </w:tc>
        <w:tc>
          <w:p>
            <w:r>
              <w:t xml:space="preserve">Menéndez</w:t>
            </w:r>
          </w:p>
        </w:tc>
        <w:tc>
          <w:p>
            <w:r>
              <w:t xml:space="preserve">Taylor</w:t>
            </w:r>
          </w:p>
        </w:tc>
      </w:tr>
      <w:tr>
        <w:tc>
          <w:p>
            <w:r>
              <w:t xml:space="preserve">Flores</w:t>
            </w:r>
          </w:p>
        </w:tc>
        <w:tc>
          <w:p>
            <w:r>
              <w:t xml:space="preserve">Miles</w:t>
            </w:r>
          </w:p>
        </w:tc>
        <w:tc>
          <w:p>
            <w:r>
              <w:t xml:space="preserve">Watson</w:t>
            </w:r>
          </w:p>
        </w:tc>
      </w:tr>
      <w:tr>
        <w:tc>
          <w:p>
            <w:r>
              <w:t xml:space="preserve">Hall</w:t>
            </w:r>
          </w:p>
        </w:tc>
        <w:tc>
          <w:p>
            <w:r>
              <w:t xml:space="preserve">Nelson</w:t>
            </w:r>
          </w:p>
        </w:tc>
        <w:tc>
          <w:p>
            <w:r>
              <w:t xml:space="preserve">West</w:t>
            </w:r>
          </w:p>
        </w:tc>
      </w:tr>
      <w:tr>
        <w:tc>
          <w:p>
            <w:r>
              <w:t xml:space="preserve">Hancock</w:t>
            </w:r>
          </w:p>
        </w:tc>
        <w:tc>
          <w:p>
            <w:r>
              <w:t xml:space="preserve">Nichols</w:t>
            </w:r>
          </w:p>
        </w:tc>
        <w:tc>
          <w:p>
            <w:r>
              <w:t xml:space="preserve">Whitmire</w:t>
            </w:r>
          </w:p>
        </w:tc>
      </w:tr>
      <w:tr>
        <w:tc>
          <w:p>
            <w:r>
              <w:t xml:space="preserve">Hinojosa</w:t>
            </w:r>
          </w:p>
        </w:tc>
        <w:tc>
          <w:p>
            <w:r>
              <w:t xml:space="preserve">Paxton</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9,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