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555</w:t>
      </w:r>
    </w:p>
    <w:p w:rsidR="003F3435" w:rsidRDefault="0032493E">
      <w:pPr>
        <w:spacing w:line="480" w:lineRule="auto"/>
        <w:ind w:firstLine="720"/>
        <w:jc w:val="both"/>
      </w:pPr>
      <w:r>
        <w:rPr>
          <w:b/>
        </w:rPr>
        <w:t xml:space="preserve">WHEREAS</w:t>
      </w:r>
      <w:r>
        <w:t xml:space="preserve">, For nearly half a century, progressive country icon Gary P. Nunn has been a standard-bearer for Texas music; and</w:t>
      </w:r>
    </w:p>
    <w:p w:rsidR="003F3435" w:rsidRDefault="0032493E">
      <w:pPr>
        <w:spacing w:line="480" w:lineRule="auto"/>
        <w:ind w:firstLine="720"/>
        <w:jc w:val="both"/>
      </w:pPr>
      <w:r>
        <w:rPr>
          <w:b/>
        </w:rPr>
        <w:t xml:space="preserve">WHEREAS</w:t>
      </w:r>
      <w:r>
        <w:t xml:space="preserve">, Born in Okmulgee, Oklahoma, in 1945, Mr.</w:t>
      </w:r>
      <w:r xml:space="preserve">
        <w:t> </w:t>
      </w:r>
      <w:r>
        <w:t xml:space="preserve">Nunn moved to Brownfield with his family in the sixth grade and soon joined a garage band; later, while studying pharmacy at The University of Texas at Austin, he played keyboards in a local supergroup, the Lavender Hill Express; he became one of the progenitors of Austin's "cosmic cowboy" movement, playing bass, keyboards, and guitar with Willie Nelson, Michael Martin Murphey, and others; as a key member of Jerry Jeff Walker's Lost Gonzo Band, he recorded six albums in four years and contributed the hit "London Homesick Blues," an ode to Texas that became a progressive country anthem and served for nearly three decades as the theme song for the PBS show </w:t>
      </w:r>
      <w:r>
        <w:rPr>
          <w:i/>
        </w:rPr>
        <w:t xml:space="preserve">Austin City Limits</w:t>
      </w:r>
      <w:r>
        <w:t xml:space="preserve">;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Nunn and the Gonzos released three critically acclaimed albums on their own, and in 1980, he launched his solo career; a trailblazer for Austin's independent music scene, he established his own label and publishing company, and he and his wife, Ruth, managed his career as he toured Europe and appeared on </w:t>
      </w:r>
      <w:r>
        <w:rPr>
          <w:i/>
        </w:rPr>
        <w:t xml:space="preserve">Austin City Limits</w:t>
      </w:r>
      <w:r>
        <w:t xml:space="preserve">,</w:t>
      </w:r>
      <w:r>
        <w:rPr>
          <w:i/>
        </w:rPr>
        <w:t xml:space="preserve"> Nashville Now</w:t>
      </w:r>
      <w:r>
        <w:t xml:space="preserve">, and other television programs; his large catalogue includes "What I Like About Texas," which became the inspiration for a Texas Travel Industry Association campaign, and over the years, many artists have recorded his songs; Rosanne Cash climbed the country singles chart with "Couldn't Do Nothing Right," while Willie Nelson scored a No.</w:t>
      </w:r>
      <w:r xml:space="preserve">
        <w:t> </w:t>
      </w:r>
      <w:r>
        <w:t xml:space="preserve">2 hit with "Last Thing I Needed, First Thing This Morning," which resurfaced on the 2018 Grammy Album of the Year by Chris Stapleton; that same year, Mr.</w:t>
      </w:r>
      <w:r xml:space="preserve">
        <w:t> </w:t>
      </w:r>
      <w:r>
        <w:t xml:space="preserve">Nunn showcased state pride on </w:t>
      </w:r>
      <w:r>
        <w:rPr>
          <w:i/>
        </w:rPr>
        <w:t xml:space="preserve">Friends for Life</w:t>
      </w:r>
      <w:r>
        <w:t xml:space="preserve">, a collection of his duets with a cavalcade of stars, including Lyle Lovett and Robert Earl Keen; and</w:t>
      </w:r>
    </w:p>
    <w:p w:rsidR="003F3435" w:rsidRDefault="0032493E">
      <w:pPr>
        <w:spacing w:line="480" w:lineRule="auto"/>
        <w:ind w:firstLine="720"/>
        <w:jc w:val="both"/>
      </w:pPr>
      <w:r>
        <w:rPr>
          <w:b/>
        </w:rPr>
        <w:t xml:space="preserve">WHEREAS</w:t>
      </w:r>
      <w:r>
        <w:t xml:space="preserve">, Inducted into the Texas Hall of Fame in 2004, Mr.</w:t>
      </w:r>
      <w:r xml:space="preserve">
        <w:t> </w:t>
      </w:r>
      <w:r>
        <w:t xml:space="preserve">Nunn is also a member of the West Texas Walk of Fame; he was named Ambassador of Texas Music by Governor Rick Perry, and among numerous accolades, he received the Country Music Association of Texas Living Legend Award; dubbed "a Texas institution" by the authoritative </w:t>
      </w:r>
      <w:r>
        <w:rPr>
          <w:i/>
        </w:rPr>
        <w:t xml:space="preserve">All Music Guide</w:t>
      </w:r>
      <w:r>
        <w:t xml:space="preserve">, he holds a special place in the state's musical firmament and in the hearts of countless fans around the world;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Gary P. Nunn for his outstanding contributions to music and extend to him sincere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Mr.</w:t>
      </w:r>
      <w:r xml:space="preserve">
        <w:t> </w:t>
      </w:r>
      <w:r>
        <w:t xml:space="preserve">Nunn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jc w:val="both"/>
      </w:pPr>
    </w:p>
    <w:tbl>
      <w:tr>
        <w:tc>
          <w:p>
            <w:r>
              <w:t xml:space="preserve">Alvarado</w:t>
            </w:r>
          </w:p>
        </w:tc>
        <w:tc>
          <w:p>
            <w:r>
              <w:t xml:space="preserve">Huffman</w:t>
            </w:r>
          </w:p>
        </w:tc>
        <w:tc>
          <w:p>
            <w:r>
              <w:t xml:space="preserve">Perry</w:t>
            </w:r>
          </w:p>
        </w:tc>
      </w:tr>
      <w:tr>
        <w:tc>
          <w:p>
            <w:r>
              <w:t xml:space="preserve">Bettencourt</w:t>
            </w:r>
          </w:p>
        </w:tc>
        <w:tc>
          <w:p>
            <w:r>
              <w:t xml:space="preserve">Hughes</w:t>
            </w:r>
          </w:p>
        </w:tc>
        <w:tc>
          <w:p>
            <w:r>
              <w:t xml:space="preserve">Powell</w:t>
            </w:r>
          </w:p>
        </w:tc>
      </w:tr>
      <w:tr>
        <w:tc>
          <w:p>
            <w:r>
              <w:t xml:space="preserve">Birdwell</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West</w:t>
            </w:r>
          </w:p>
        </w:tc>
      </w:tr>
      <w:tr>
        <w:tc>
          <w:p>
            <w:r>
              <w:t xml:space="preserve">Hancock</w:t>
            </w:r>
          </w:p>
        </w:tc>
        <w:tc>
          <w:p>
            <w:r>
              <w:t xml:space="preserve">Nichols</w:t>
            </w:r>
          </w:p>
        </w:tc>
        <w:tc>
          <w:p>
            <w:r>
              <w:t xml:space="preserve">Whitmire</w:t>
            </w:r>
          </w:p>
        </w:tc>
      </w:tr>
      <w:tr>
        <w:tc>
          <w:p>
            <w:r>
              <w:t xml:space="preserve">Hinojosa</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