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714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Corporal Travis Flowers, Pablo Escobedo, Gregory Lomason, and Junior Defreitas for their lifesaving actions;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These four gentlemen were exercising at a fitness club in Highland Village when a man collapsed during a workout; they went to his aid and found he was unconscious and had no pulse, and they immediately began administering cardiopulmonary resuscitation;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They then applied an automatic external defibrillator, which analyzed his condition and provided the necessary electrical shock to reestablish an effective cardiac rhythm; cardiopulmonary resuscitation was continued until the man began to breathe on his own and had a strong pulse;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Through quick thinking and decisive action, Corporal Flowers, Mr.</w:t>
      </w:r>
      <w:r xml:space="preserve">
        <w:t> </w:t>
      </w:r>
      <w:r>
        <w:t xml:space="preserve">Escobedo, Mr.</w:t>
      </w:r>
      <w:r xml:space="preserve">
        <w:t> </w:t>
      </w:r>
      <w:r>
        <w:t xml:space="preserve">Lomason, and Mr.</w:t>
      </w:r>
      <w:r xml:space="preserve">
        <w:t> </w:t>
      </w:r>
      <w:r>
        <w:t xml:space="preserve">Defreitas saved the life of their fellow citizen, and it is truly fitting that they receive special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Corporal Travis Flowers, Pablo Escobedo, Gregory Lomason, and Junior Defreitas for their heroic actions;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them as an expression of high regard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Nelson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8,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714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