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770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Chris King for his exemplary service as director of athletics at The University of Texas Rio Grande Valley;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over nine years of leadership in the Department of Intercollegiate Athletics, Chris King has raised the standard of Division I Athletics and shaped a thriving department that proudly represents the Rio Grande Valley campus and strives to inspire excellence in the classroom, in competition, and in the community;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Today, the university is ranked second in the Western Athletic Conference, and it has won a combined total of 36 individual and team championship titles since joining the conference in 2013; athletes have also set new records in hours of service and volunteering, outreach, and campus engagement while outperforming the general student body in both grade point average and graduation rates;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 King and his staff have made great strides in increasing general fund-raising, ticket sales, and corporate sponsorships; new funding streams have made possible extensive renovations to existing facilities and the construction of new, state-of-the-art playing fields and training centers;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Chris King is a highly esteemed athletic administrator who has fostered a culture of integrity at the university and helped the intercollegiate athletics department establish a solid foundation for future prosperity; he is moving on to serve as vice president and director of athletics at his alma mater, Robert Morris University, in Pennsylvania;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Chris King for helping to shape a leading athletics department at The University of Texas Rio Grande Valley and extend to him best wishes for continued success in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Hinojosa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17,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770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