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546CFC" w:rsidTr="00546CFC">
        <w:trPr>
          <w:cantSplit/>
          <w:tblHeader/>
        </w:trPr>
        <w:tc>
          <w:tcPr>
            <w:tcW w:w="18713" w:type="dxa"/>
            <w:gridSpan w:val="3"/>
          </w:tcPr>
          <w:p w:rsidR="00D26EF3" w:rsidRDefault="00FD7E53">
            <w:pPr>
              <w:ind w:left="650"/>
              <w:jc w:val="center"/>
            </w:pPr>
            <w:bookmarkStart w:id="0" w:name="_GoBack"/>
            <w:bookmarkEnd w:id="0"/>
            <w:r>
              <w:rPr>
                <w:b/>
              </w:rPr>
              <w:t>House Bill  6</w:t>
            </w:r>
          </w:p>
          <w:p w:rsidR="00D26EF3" w:rsidRDefault="00FD7E53">
            <w:pPr>
              <w:ind w:left="650"/>
              <w:jc w:val="center"/>
            </w:pPr>
            <w:r>
              <w:t>Senate Amendments</w:t>
            </w:r>
          </w:p>
          <w:p w:rsidR="00D26EF3" w:rsidRDefault="00FD7E53">
            <w:pPr>
              <w:ind w:left="650"/>
              <w:jc w:val="center"/>
            </w:pPr>
            <w:r>
              <w:t>Section-by-Section Analysis</w:t>
            </w:r>
          </w:p>
          <w:p w:rsidR="00D26EF3" w:rsidRDefault="00D26EF3">
            <w:pPr>
              <w:jc w:val="center"/>
            </w:pPr>
          </w:p>
        </w:tc>
      </w:tr>
      <w:tr w:rsidR="00D26EF3">
        <w:trPr>
          <w:cantSplit/>
          <w:tblHeader/>
        </w:trPr>
        <w:tc>
          <w:tcPr>
            <w:tcW w:w="1667" w:type="pct"/>
            <w:tcMar>
              <w:bottom w:w="188" w:type="dxa"/>
              <w:right w:w="0" w:type="dxa"/>
            </w:tcMar>
          </w:tcPr>
          <w:p w:rsidR="00D26EF3" w:rsidRDefault="00FD7E53">
            <w:pPr>
              <w:jc w:val="center"/>
            </w:pPr>
            <w:r>
              <w:t>HOUSE VERSION</w:t>
            </w:r>
          </w:p>
        </w:tc>
        <w:tc>
          <w:tcPr>
            <w:tcW w:w="1667" w:type="pct"/>
            <w:tcMar>
              <w:bottom w:w="188" w:type="dxa"/>
              <w:right w:w="0" w:type="dxa"/>
            </w:tcMar>
          </w:tcPr>
          <w:p w:rsidR="00D26EF3" w:rsidRDefault="00FD7E53">
            <w:pPr>
              <w:jc w:val="center"/>
            </w:pPr>
            <w:r>
              <w:t>SENATE VERSION (IE)</w:t>
            </w:r>
          </w:p>
        </w:tc>
        <w:tc>
          <w:tcPr>
            <w:tcW w:w="1667" w:type="pct"/>
            <w:tcMar>
              <w:bottom w:w="188" w:type="dxa"/>
              <w:right w:w="0" w:type="dxa"/>
            </w:tcMar>
          </w:tcPr>
          <w:p w:rsidR="00D26EF3" w:rsidRDefault="00FD7E53">
            <w:pPr>
              <w:jc w:val="center"/>
            </w:pPr>
            <w:r>
              <w:t>CONFERENCE</w:t>
            </w:r>
          </w:p>
        </w:tc>
      </w:tr>
      <w:tr w:rsidR="00D26EF3">
        <w:tc>
          <w:tcPr>
            <w:tcW w:w="6473" w:type="dxa"/>
          </w:tcPr>
          <w:p w:rsidR="00D26EF3" w:rsidRDefault="00FD7E53">
            <w:pPr>
              <w:jc w:val="both"/>
            </w:pPr>
            <w:r w:rsidRPr="00546CFC">
              <w:rPr>
                <w:highlight w:val="lightGray"/>
              </w:rPr>
              <w:t>No equivalent provision.</w:t>
            </w:r>
          </w:p>
          <w:p w:rsidR="00D26EF3" w:rsidRDefault="00D26EF3">
            <w:pPr>
              <w:jc w:val="both"/>
            </w:pPr>
          </w:p>
        </w:tc>
        <w:tc>
          <w:tcPr>
            <w:tcW w:w="6480" w:type="dxa"/>
          </w:tcPr>
          <w:p w:rsidR="00D26EF3" w:rsidRDefault="00FD7E53">
            <w:pPr>
              <w:jc w:val="both"/>
            </w:pPr>
            <w:r>
              <w:t>SECTION __.  Sections 418.005(a), (b), (c), and (e), Government Code, are amended to read as follows:</w:t>
            </w:r>
          </w:p>
          <w:p w:rsidR="00D26EF3" w:rsidRDefault="00FD7E53">
            <w:pPr>
              <w:jc w:val="both"/>
            </w:pPr>
            <w:r>
              <w:t>(a)  This section applies only to</w:t>
            </w:r>
            <w:r>
              <w:rPr>
                <w:u w:val="single"/>
              </w:rPr>
              <w:t>:</w:t>
            </w:r>
          </w:p>
          <w:p w:rsidR="00D26EF3" w:rsidRDefault="00FD7E53">
            <w:pPr>
              <w:jc w:val="both"/>
            </w:pPr>
            <w:r>
              <w:rPr>
                <w:u w:val="single"/>
              </w:rPr>
              <w:t>(1)</w:t>
            </w:r>
            <w:r>
              <w:t xml:space="preserve">  an elected law enforcement officer or county judge, or an appointed public officer of the state or of a political subdivision, who has management or supervisory responsibilities and:</w:t>
            </w:r>
          </w:p>
          <w:p w:rsidR="00D26EF3" w:rsidRDefault="00FD7E53">
            <w:pPr>
              <w:jc w:val="both"/>
            </w:pPr>
            <w:r>
              <w:rPr>
                <w:u w:val="single"/>
              </w:rPr>
              <w:t>(A)</w:t>
            </w:r>
            <w:r>
              <w:t xml:space="preserve"> [</w:t>
            </w:r>
            <w:r>
              <w:rPr>
                <w:strike/>
              </w:rPr>
              <w:t>(1)</w:t>
            </w:r>
            <w:r>
              <w:t>]  whose position description, job duties, or assignment includes emergency management responsibilities; or</w:t>
            </w:r>
          </w:p>
          <w:p w:rsidR="00D26EF3" w:rsidRDefault="00FD7E53">
            <w:pPr>
              <w:jc w:val="both"/>
            </w:pPr>
            <w:r>
              <w:rPr>
                <w:u w:val="single"/>
              </w:rPr>
              <w:t>(B)</w:t>
            </w:r>
            <w:r>
              <w:t xml:space="preserve"> [</w:t>
            </w:r>
            <w:r>
              <w:rPr>
                <w:strike/>
              </w:rPr>
              <w:t>(2)</w:t>
            </w:r>
            <w:r>
              <w:t>]  who plays a role in emergency preparedness, response, or recovery</w:t>
            </w:r>
            <w:r>
              <w:rPr>
                <w:u w:val="single"/>
              </w:rPr>
              <w:t>; and</w:t>
            </w:r>
          </w:p>
          <w:p w:rsidR="00D26EF3" w:rsidRDefault="00FD7E53">
            <w:pPr>
              <w:jc w:val="both"/>
            </w:pPr>
            <w:r>
              <w:rPr>
                <w:u w:val="single"/>
              </w:rPr>
              <w:t>(2)  an emergency management coordinator designated under Section 418.1015(c) by the emergency management director of a county with a population of 500,000 or more</w:t>
            </w:r>
            <w:r>
              <w:t>.</w:t>
            </w:r>
          </w:p>
          <w:p w:rsidR="00D26EF3" w:rsidRDefault="00FD7E53">
            <w:pPr>
              <w:jc w:val="both"/>
            </w:pPr>
            <w:r>
              <w:t>(b)  Each person described by Subsection (a) shall complete a course of training provided or approved by the division of not less than three hours regarding the responsibilities of state and local governments under this chapter not later than the 180th day after the date the person:</w:t>
            </w:r>
          </w:p>
          <w:p w:rsidR="00D26EF3" w:rsidRDefault="00FD7E53">
            <w:pPr>
              <w:jc w:val="both"/>
            </w:pPr>
            <w:r>
              <w:t>(1)  takes the oath of office, if the person is required to take an oath of office to assume the person's duties as a public officer; [</w:t>
            </w:r>
            <w:r>
              <w:rPr>
                <w:strike/>
              </w:rPr>
              <w:t>or</w:t>
            </w:r>
            <w:r>
              <w:t>]</w:t>
            </w:r>
          </w:p>
          <w:p w:rsidR="00D26EF3" w:rsidRDefault="00FD7E53">
            <w:pPr>
              <w:jc w:val="both"/>
            </w:pPr>
            <w:r>
              <w:t>(2)  otherwise assumes responsibilities as a public officer, if the person is not required to take an oath of office to assume the person's duties</w:t>
            </w:r>
            <w:r>
              <w:rPr>
                <w:u w:val="single"/>
              </w:rPr>
              <w:t>; or</w:t>
            </w:r>
          </w:p>
          <w:p w:rsidR="00D26EF3" w:rsidRDefault="00FD7E53">
            <w:pPr>
              <w:jc w:val="both"/>
            </w:pPr>
            <w:r>
              <w:rPr>
                <w:u w:val="single"/>
              </w:rPr>
              <w:t>(3)  is designated as an emergency management coordinator under Section 418.1015(c)</w:t>
            </w:r>
            <w:r>
              <w:t>.</w:t>
            </w:r>
          </w:p>
          <w:p w:rsidR="00D26EF3" w:rsidRDefault="00FD7E53">
            <w:pPr>
              <w:jc w:val="both"/>
            </w:pPr>
            <w:r>
              <w:t xml:space="preserve">(c)  The division shall develop and provide a training course related to the emergency management responsibilities of state-level officers and a training course related to the emergency management responsibilities of officers </w:t>
            </w:r>
            <w:r>
              <w:rPr>
                <w:u w:val="single"/>
              </w:rPr>
              <w:t xml:space="preserve">and </w:t>
            </w:r>
            <w:r>
              <w:rPr>
                <w:u w:val="single"/>
              </w:rPr>
              <w:lastRenderedPageBreak/>
              <w:t>emergency management coordinators</w:t>
            </w:r>
            <w:r>
              <w:t xml:space="preserve"> of political subdivisions.  The division shall ensure that the training courses satisfy the requirements of Subsection (b).</w:t>
            </w:r>
          </w:p>
          <w:p w:rsidR="00D26EF3" w:rsidRDefault="00FD7E53">
            <w:pPr>
              <w:jc w:val="both"/>
            </w:pPr>
            <w:r>
              <w:t xml:space="preserve">(e)  The division or other entity providing the training shall provide a certificate of course completion to </w:t>
            </w:r>
            <w:r>
              <w:rPr>
                <w:u w:val="single"/>
              </w:rPr>
              <w:t>a person</w:t>
            </w:r>
            <w:r>
              <w:t xml:space="preserve"> [</w:t>
            </w:r>
            <w:r>
              <w:rPr>
                <w:strike/>
              </w:rPr>
              <w:t>public officers</w:t>
            </w:r>
            <w:r>
              <w:t xml:space="preserve">] who </w:t>
            </w:r>
            <w:r>
              <w:rPr>
                <w:u w:val="single"/>
              </w:rPr>
              <w:t>completes</w:t>
            </w:r>
            <w:r>
              <w:t xml:space="preserve"> [</w:t>
            </w:r>
            <w:r>
              <w:rPr>
                <w:strike/>
              </w:rPr>
              <w:t>complete</w:t>
            </w:r>
            <w:r>
              <w:t xml:space="preserve">] the training required by this section.  A </w:t>
            </w:r>
            <w:r>
              <w:rPr>
                <w:u w:val="single"/>
              </w:rPr>
              <w:t>person</w:t>
            </w:r>
            <w:r>
              <w:t xml:space="preserve"> [</w:t>
            </w:r>
            <w:r>
              <w:rPr>
                <w:strike/>
              </w:rPr>
              <w:t>public officer</w:t>
            </w:r>
            <w:r>
              <w:t xml:space="preserve">] who completes the training required by this section shall maintain and make available for public inspection the record of the </w:t>
            </w:r>
            <w:r>
              <w:rPr>
                <w:u w:val="single"/>
              </w:rPr>
              <w:t>person's</w:t>
            </w:r>
            <w:r>
              <w:t xml:space="preserve"> [</w:t>
            </w:r>
            <w:r>
              <w:rPr>
                <w:strike/>
              </w:rPr>
              <w:t>public officer's</w:t>
            </w:r>
            <w:r>
              <w:t>] completion of the training.  [FA3]</w:t>
            </w:r>
          </w:p>
          <w:p w:rsidR="00D26EF3" w:rsidRDefault="00D26EF3">
            <w:pPr>
              <w:jc w:val="both"/>
            </w:pPr>
          </w:p>
        </w:tc>
        <w:tc>
          <w:tcPr>
            <w:tcW w:w="5760" w:type="dxa"/>
          </w:tcPr>
          <w:p w:rsidR="00D26EF3" w:rsidRDefault="00D26EF3">
            <w:pPr>
              <w:jc w:val="both"/>
            </w:pPr>
          </w:p>
        </w:tc>
      </w:tr>
      <w:tr w:rsidR="00D26EF3">
        <w:tc>
          <w:tcPr>
            <w:tcW w:w="6473" w:type="dxa"/>
          </w:tcPr>
          <w:p w:rsidR="00D26EF3" w:rsidRDefault="00FD7E53">
            <w:pPr>
              <w:jc w:val="both"/>
            </w:pPr>
            <w:r w:rsidRPr="00546CFC">
              <w:rPr>
                <w:highlight w:val="lightGray"/>
              </w:rPr>
              <w:t>No equivalent provision.</w:t>
            </w:r>
          </w:p>
          <w:p w:rsidR="00D26EF3" w:rsidRDefault="00D26EF3">
            <w:pPr>
              <w:jc w:val="both"/>
            </w:pPr>
          </w:p>
        </w:tc>
        <w:tc>
          <w:tcPr>
            <w:tcW w:w="6480" w:type="dxa"/>
          </w:tcPr>
          <w:p w:rsidR="00D26EF3" w:rsidRDefault="00FD7E53">
            <w:pPr>
              <w:jc w:val="both"/>
            </w:pPr>
            <w:r>
              <w:t>SECTION __.  Not later than March 1, 2020, each person who is required to complete a course of training under Section 418.005, Government Code, as amended by this Act, must complete the training.  [FA3]</w:t>
            </w:r>
          </w:p>
          <w:p w:rsidR="00D26EF3" w:rsidRDefault="00D26EF3">
            <w:pPr>
              <w:jc w:val="both"/>
            </w:pPr>
          </w:p>
        </w:tc>
        <w:tc>
          <w:tcPr>
            <w:tcW w:w="5760" w:type="dxa"/>
          </w:tcPr>
          <w:p w:rsidR="00D26EF3" w:rsidRDefault="00D26EF3">
            <w:pPr>
              <w:jc w:val="both"/>
            </w:pPr>
          </w:p>
        </w:tc>
      </w:tr>
      <w:tr w:rsidR="00D26EF3">
        <w:tc>
          <w:tcPr>
            <w:tcW w:w="6473" w:type="dxa"/>
          </w:tcPr>
          <w:p w:rsidR="00D26EF3" w:rsidRDefault="00FD7E53">
            <w:pPr>
              <w:jc w:val="both"/>
            </w:pPr>
            <w:r>
              <w:t>SECTION 1.  Subchapter C, Chapter 418, Government Code, is amended by adding Section 418.054 to read as follows:</w:t>
            </w:r>
          </w:p>
          <w:p w:rsidR="00D26EF3" w:rsidRDefault="00FD7E53">
            <w:pPr>
              <w:jc w:val="both"/>
            </w:pPr>
            <w:r>
              <w:rPr>
                <w:u w:val="single"/>
              </w:rPr>
              <w:t>Sec. 418.054.  DISASTER RECOVERY TASK FORCE.  (a) The division shall develop a disaster recovery task force to operate throughout the long-term recovery period following natural and man-made disasters by providing specialized assistance for communities and individuals to address financial issues, available federal assistance programs, and recovery and resiliency planning to speed recovery efforts at the local level.</w:t>
            </w:r>
          </w:p>
          <w:p w:rsidR="00D26EF3" w:rsidRDefault="00FD7E53">
            <w:pPr>
              <w:jc w:val="both"/>
            </w:pPr>
            <w:r>
              <w:rPr>
                <w:u w:val="single"/>
              </w:rPr>
              <w:t>(b)  The disaster recovery task force may include and use the resources of:</w:t>
            </w:r>
          </w:p>
          <w:p w:rsidR="00D26EF3" w:rsidRDefault="00FD7E53">
            <w:pPr>
              <w:jc w:val="both"/>
            </w:pPr>
            <w:r>
              <w:rPr>
                <w:u w:val="single"/>
              </w:rPr>
              <w:lastRenderedPageBreak/>
              <w:t>(1)  any appropriate state agencies, including institutions of higher education; and</w:t>
            </w:r>
          </w:p>
          <w:p w:rsidR="00D26EF3" w:rsidRDefault="00FD7E53">
            <w:pPr>
              <w:jc w:val="both"/>
            </w:pPr>
            <w:r>
              <w:rPr>
                <w:u w:val="single"/>
              </w:rPr>
              <w:t>(2)  organized volunteer groups.</w:t>
            </w:r>
          </w:p>
          <w:p w:rsidR="00D26EF3" w:rsidRDefault="00FD7E53">
            <w:pPr>
              <w:jc w:val="both"/>
            </w:pPr>
            <w:r>
              <w:rPr>
                <w:u w:val="single"/>
              </w:rPr>
              <w:t>(c)  The disaster recovery task force shall develop procedures for preparing and issuing a report listing each project related to a disaster that qualifies for federal assistance.  A report must be submitted to the appropriate federal agencies as soon as practicable after any disaster.</w:t>
            </w:r>
          </w:p>
          <w:p w:rsidR="00D26EF3" w:rsidRDefault="00FD7E53">
            <w:pPr>
              <w:jc w:val="both"/>
            </w:pPr>
            <w:r>
              <w:rPr>
                <w:u w:val="single"/>
              </w:rPr>
              <w:t>(d)  Once each quarter, the disaster recovery task force shall brief members of the legislature, legislative staff, and state agency personnel on the response and recovery efforts for previous disasters and any preparation or planning for potential future hazards, threats, or disasters.</w:t>
            </w:r>
          </w:p>
          <w:p w:rsidR="00D26EF3" w:rsidRDefault="00D26EF3">
            <w:pPr>
              <w:jc w:val="both"/>
            </w:pPr>
          </w:p>
        </w:tc>
        <w:tc>
          <w:tcPr>
            <w:tcW w:w="6480" w:type="dxa"/>
          </w:tcPr>
          <w:p w:rsidR="00D26EF3" w:rsidRDefault="00FD7E53">
            <w:pPr>
              <w:jc w:val="both"/>
            </w:pPr>
            <w:r>
              <w:lastRenderedPageBreak/>
              <w:t>SECTION 1. Same as House version.</w:t>
            </w:r>
          </w:p>
          <w:p w:rsidR="00D26EF3" w:rsidRDefault="00D26EF3">
            <w:pPr>
              <w:jc w:val="both"/>
            </w:pPr>
          </w:p>
          <w:p w:rsidR="00D26EF3" w:rsidRDefault="00D26EF3">
            <w:pPr>
              <w:jc w:val="both"/>
            </w:pPr>
          </w:p>
        </w:tc>
        <w:tc>
          <w:tcPr>
            <w:tcW w:w="5760" w:type="dxa"/>
          </w:tcPr>
          <w:p w:rsidR="00D26EF3" w:rsidRDefault="00D26EF3">
            <w:pPr>
              <w:jc w:val="both"/>
            </w:pPr>
          </w:p>
        </w:tc>
      </w:tr>
      <w:tr w:rsidR="00D26EF3">
        <w:tc>
          <w:tcPr>
            <w:tcW w:w="6473" w:type="dxa"/>
          </w:tcPr>
          <w:p w:rsidR="00D26EF3" w:rsidRDefault="00FD7E53">
            <w:pPr>
              <w:jc w:val="both"/>
            </w:pPr>
            <w:r w:rsidRPr="00546CFC">
              <w:rPr>
                <w:highlight w:val="lightGray"/>
              </w:rPr>
              <w:t>No equivalent provision.</w:t>
            </w:r>
          </w:p>
          <w:p w:rsidR="00D26EF3" w:rsidRDefault="00D26EF3">
            <w:pPr>
              <w:jc w:val="both"/>
            </w:pPr>
          </w:p>
        </w:tc>
        <w:tc>
          <w:tcPr>
            <w:tcW w:w="6480" w:type="dxa"/>
          </w:tcPr>
          <w:p w:rsidR="00D26EF3" w:rsidRDefault="00FD7E53">
            <w:pPr>
              <w:jc w:val="both"/>
            </w:pPr>
            <w:r>
              <w:t>SECTION __.Section 418.102, Government Code, is amended by adding Subsection (a-1) to read as follows:</w:t>
            </w:r>
          </w:p>
          <w:p w:rsidR="00D26EF3" w:rsidRDefault="00FD7E53">
            <w:pPr>
              <w:jc w:val="both"/>
            </w:pPr>
            <w:r>
              <w:rPr>
                <w:u w:val="single"/>
              </w:rPr>
              <w:t>(a-1) An emergency management program required by Subsection (a) and maintained by a county, or in which a county participates, must provide for catastrophic debris management.</w:t>
            </w:r>
            <w:r>
              <w:t xml:space="preserve">  [FA2]</w:t>
            </w:r>
          </w:p>
          <w:p w:rsidR="00D26EF3" w:rsidRDefault="00D26EF3">
            <w:pPr>
              <w:jc w:val="both"/>
            </w:pPr>
          </w:p>
        </w:tc>
        <w:tc>
          <w:tcPr>
            <w:tcW w:w="5760" w:type="dxa"/>
          </w:tcPr>
          <w:p w:rsidR="00D26EF3" w:rsidRDefault="00D26EF3">
            <w:pPr>
              <w:jc w:val="both"/>
            </w:pPr>
          </w:p>
        </w:tc>
      </w:tr>
      <w:tr w:rsidR="00D26EF3">
        <w:tc>
          <w:tcPr>
            <w:tcW w:w="6473" w:type="dxa"/>
          </w:tcPr>
          <w:p w:rsidR="00D26EF3" w:rsidRDefault="00FD7E53">
            <w:pPr>
              <w:jc w:val="both"/>
            </w:pPr>
            <w:r w:rsidRPr="00546CFC">
              <w:rPr>
                <w:highlight w:val="lightGray"/>
              </w:rPr>
              <w:t>No equivalent provision.</w:t>
            </w:r>
          </w:p>
          <w:p w:rsidR="00D26EF3" w:rsidRDefault="00D26EF3">
            <w:pPr>
              <w:jc w:val="both"/>
            </w:pPr>
          </w:p>
        </w:tc>
        <w:tc>
          <w:tcPr>
            <w:tcW w:w="6480" w:type="dxa"/>
          </w:tcPr>
          <w:p w:rsidR="00D26EF3" w:rsidRDefault="00FD7E53">
            <w:pPr>
              <w:jc w:val="both"/>
            </w:pPr>
            <w:r>
              <w:t>SECTION __.Not later than January 1, 2020, each county shall provide for catastrophic debris management in the county's emergency management program or in a program in which the county participates as required by Section 418.102(a-1), Government Code, as added by this Act.  [FA2]</w:t>
            </w:r>
          </w:p>
          <w:p w:rsidR="00D26EF3" w:rsidRDefault="00D26EF3">
            <w:pPr>
              <w:jc w:val="both"/>
            </w:pPr>
          </w:p>
        </w:tc>
        <w:tc>
          <w:tcPr>
            <w:tcW w:w="5760" w:type="dxa"/>
          </w:tcPr>
          <w:p w:rsidR="00D26EF3" w:rsidRDefault="00D26EF3">
            <w:pPr>
              <w:jc w:val="both"/>
            </w:pPr>
          </w:p>
        </w:tc>
      </w:tr>
      <w:tr w:rsidR="00D26EF3">
        <w:tc>
          <w:tcPr>
            <w:tcW w:w="6473" w:type="dxa"/>
          </w:tcPr>
          <w:p w:rsidR="00D26EF3" w:rsidRPr="00546CFC" w:rsidRDefault="00FD7E53">
            <w:pPr>
              <w:jc w:val="both"/>
              <w:rPr>
                <w:highlight w:val="lightGray"/>
              </w:rPr>
            </w:pPr>
            <w:r w:rsidRPr="00546CFC">
              <w:rPr>
                <w:highlight w:val="lightGray"/>
              </w:rPr>
              <w:lastRenderedPageBreak/>
              <w:t>No equivalent provision.</w:t>
            </w:r>
          </w:p>
          <w:p w:rsidR="00D26EF3" w:rsidRPr="00546CFC" w:rsidRDefault="00D26EF3">
            <w:pPr>
              <w:jc w:val="both"/>
              <w:rPr>
                <w:highlight w:val="lightGray"/>
              </w:rPr>
            </w:pPr>
          </w:p>
        </w:tc>
        <w:tc>
          <w:tcPr>
            <w:tcW w:w="6480" w:type="dxa"/>
          </w:tcPr>
          <w:p w:rsidR="00D26EF3" w:rsidRDefault="00FD7E53">
            <w:pPr>
              <w:jc w:val="both"/>
            </w:pPr>
            <w:r>
              <w:t>SECTION __.  Section 33.604, Natural Resources Code, is amended by adding Subsection (b-1) to read as follows:</w:t>
            </w:r>
          </w:p>
          <w:p w:rsidR="00D26EF3" w:rsidRDefault="00FD7E53">
            <w:pPr>
              <w:jc w:val="both"/>
            </w:pPr>
            <w:r>
              <w:rPr>
                <w:u w:val="single"/>
              </w:rPr>
              <w:t>(b-1)  In addition to the money described by Subsection (b), the account consists of money transferred to the account under Section 156.252, Tax Code.  This subsection expires September 1, 2031.</w:t>
            </w:r>
            <w:r>
              <w:t xml:space="preserve">  [FA4]</w:t>
            </w:r>
          </w:p>
          <w:p w:rsidR="00D26EF3" w:rsidRDefault="00D26EF3">
            <w:pPr>
              <w:jc w:val="both"/>
            </w:pPr>
          </w:p>
        </w:tc>
        <w:tc>
          <w:tcPr>
            <w:tcW w:w="5760" w:type="dxa"/>
          </w:tcPr>
          <w:p w:rsidR="00D26EF3" w:rsidRDefault="00D26EF3">
            <w:pPr>
              <w:jc w:val="both"/>
            </w:pPr>
          </w:p>
        </w:tc>
      </w:tr>
      <w:tr w:rsidR="00D26EF3">
        <w:tc>
          <w:tcPr>
            <w:tcW w:w="6473" w:type="dxa"/>
          </w:tcPr>
          <w:p w:rsidR="00D26EF3" w:rsidRDefault="00FD7E53">
            <w:pPr>
              <w:jc w:val="both"/>
            </w:pPr>
            <w:r w:rsidRPr="00546CFC">
              <w:rPr>
                <w:highlight w:val="lightGray"/>
              </w:rPr>
              <w:t>No equivalent provision.</w:t>
            </w:r>
          </w:p>
          <w:p w:rsidR="00D26EF3" w:rsidRDefault="00D26EF3">
            <w:pPr>
              <w:jc w:val="both"/>
            </w:pPr>
          </w:p>
        </w:tc>
        <w:tc>
          <w:tcPr>
            <w:tcW w:w="6480" w:type="dxa"/>
          </w:tcPr>
          <w:p w:rsidR="00D26EF3" w:rsidRDefault="00FD7E53">
            <w:pPr>
              <w:jc w:val="both"/>
            </w:pPr>
            <w:r>
              <w:t>SECTION __.  Subchapter F, Chapter 156, Tax Code, is amended by adding Section 156.252 to read as follows:</w:t>
            </w:r>
          </w:p>
          <w:p w:rsidR="00D26EF3" w:rsidRDefault="00FD7E53">
            <w:pPr>
              <w:jc w:val="both"/>
            </w:pPr>
            <w:r>
              <w:rPr>
                <w:u w:val="single"/>
              </w:rPr>
              <w:t>Sec. 156.252.  TEMPORARY ALLOCATION OF CERTAIN REVENUE TO BENEFIT COASTAL COUNTIES.  (a)  In this section, "coastal county" means any county adjacent to:</w:t>
            </w:r>
          </w:p>
          <w:p w:rsidR="00D26EF3" w:rsidRDefault="00FD7E53">
            <w:pPr>
              <w:jc w:val="both"/>
            </w:pPr>
            <w:r>
              <w:rPr>
                <w:u w:val="single"/>
              </w:rPr>
              <w:t>(1)  the Gulf of Mexico; or</w:t>
            </w:r>
          </w:p>
          <w:p w:rsidR="00D26EF3" w:rsidRDefault="00FD7E53">
            <w:pPr>
              <w:jc w:val="both"/>
            </w:pPr>
            <w:r>
              <w:rPr>
                <w:u w:val="single"/>
              </w:rPr>
              <w:t>(2)  Corpus Christi Bay.</w:t>
            </w:r>
          </w:p>
          <w:p w:rsidR="00D26EF3" w:rsidRDefault="00FD7E53">
            <w:pPr>
              <w:jc w:val="both"/>
            </w:pPr>
            <w:r>
              <w:rPr>
                <w:u w:val="single"/>
              </w:rPr>
              <w:t>(b)  Beginning with the state fiscal year beginning September 1, 2021, and except as provided by Subsection (d), the comptroller shall, not later than September 30 of each state fiscal year:</w:t>
            </w:r>
          </w:p>
          <w:p w:rsidR="00D26EF3" w:rsidRDefault="00FD7E53">
            <w:pPr>
              <w:jc w:val="both"/>
            </w:pPr>
            <w:r>
              <w:rPr>
                <w:u w:val="single"/>
              </w:rPr>
              <w:t>(1)  compute the amount of revenue derived from the collection of taxes imposed under this chapter at a rate of two percent and received from hotels located in coastal counties during the preceding state fiscal year; and</w:t>
            </w:r>
          </w:p>
          <w:p w:rsidR="00D26EF3" w:rsidRDefault="00FD7E53">
            <w:pPr>
              <w:jc w:val="both"/>
            </w:pPr>
            <w:r>
              <w:rPr>
                <w:u w:val="single"/>
              </w:rPr>
              <w:t>(2)  transfer that amount to the coastal erosion response account created under Section 33.604, Natural Resources Code.</w:t>
            </w:r>
          </w:p>
          <w:p w:rsidR="00D26EF3" w:rsidRDefault="00FD7E53">
            <w:pPr>
              <w:jc w:val="both"/>
            </w:pPr>
            <w:r>
              <w:rPr>
                <w:u w:val="single"/>
              </w:rPr>
              <w:t>(c)  Revenue transferred under this section may be appropriated only to the General Land Office for a purpose consistent with Subchapter H, Chapter 33, Natural Resources Code, that benefits a coastal county.</w:t>
            </w:r>
          </w:p>
          <w:p w:rsidR="00D26EF3" w:rsidRDefault="00FD7E53">
            <w:pPr>
              <w:jc w:val="both"/>
            </w:pPr>
            <w:r>
              <w:rPr>
                <w:u w:val="single"/>
              </w:rPr>
              <w:lastRenderedPageBreak/>
              <w:t>(d)  Revenue derived from the collection of taxes under this chapter that is placed in a suspense account under Section 151.429(h) or under Section 2303.5055(f), Government Code, is excluded from the computation required by Subsection (b)(1).</w:t>
            </w:r>
          </w:p>
          <w:p w:rsidR="00D26EF3" w:rsidRDefault="00FD7E53">
            <w:pPr>
              <w:jc w:val="both"/>
            </w:pPr>
            <w:r>
              <w:rPr>
                <w:u w:val="single"/>
              </w:rPr>
              <w:t>(e)  This section expires September 1, 2031.</w:t>
            </w:r>
            <w:r>
              <w:t xml:space="preserve">  [FA4]</w:t>
            </w:r>
          </w:p>
          <w:p w:rsidR="00D26EF3" w:rsidRDefault="00D26EF3">
            <w:pPr>
              <w:jc w:val="both"/>
            </w:pPr>
          </w:p>
        </w:tc>
        <w:tc>
          <w:tcPr>
            <w:tcW w:w="5760" w:type="dxa"/>
          </w:tcPr>
          <w:p w:rsidR="00D26EF3" w:rsidRDefault="00D26EF3">
            <w:pPr>
              <w:jc w:val="both"/>
            </w:pPr>
          </w:p>
        </w:tc>
      </w:tr>
      <w:tr w:rsidR="00D26EF3">
        <w:tc>
          <w:tcPr>
            <w:tcW w:w="6473" w:type="dxa"/>
          </w:tcPr>
          <w:p w:rsidR="00D26EF3" w:rsidRDefault="00FD7E53">
            <w:pPr>
              <w:jc w:val="both"/>
            </w:pPr>
            <w:r w:rsidRPr="00546CFC">
              <w:rPr>
                <w:highlight w:val="lightGray"/>
              </w:rPr>
              <w:t>No equivalent provision.</w:t>
            </w:r>
          </w:p>
          <w:p w:rsidR="00D26EF3" w:rsidRDefault="00D26EF3">
            <w:pPr>
              <w:jc w:val="both"/>
            </w:pPr>
          </w:p>
        </w:tc>
        <w:tc>
          <w:tcPr>
            <w:tcW w:w="6480" w:type="dxa"/>
          </w:tcPr>
          <w:p w:rsidR="00D26EF3" w:rsidRDefault="00FD7E53">
            <w:pPr>
              <w:jc w:val="both"/>
            </w:pPr>
            <w:r>
              <w:t>SECTION __.  The Texas Division of Emergency Management is required to implement a provision of this Act only if the legislature appropriates money specifically for that purpose.  If the legislature does not appropriate money specifically for that purpose, the division may, but is not required to, implement a provision of this Act using other appropriations available for that purpose.  [FA1]</w:t>
            </w:r>
          </w:p>
          <w:p w:rsidR="00D26EF3" w:rsidRDefault="00D26EF3">
            <w:pPr>
              <w:jc w:val="both"/>
            </w:pPr>
          </w:p>
        </w:tc>
        <w:tc>
          <w:tcPr>
            <w:tcW w:w="5760" w:type="dxa"/>
          </w:tcPr>
          <w:p w:rsidR="00D26EF3" w:rsidRDefault="00D26EF3">
            <w:pPr>
              <w:jc w:val="both"/>
            </w:pPr>
          </w:p>
        </w:tc>
      </w:tr>
      <w:tr w:rsidR="00D26EF3">
        <w:tc>
          <w:tcPr>
            <w:tcW w:w="6473" w:type="dxa"/>
          </w:tcPr>
          <w:p w:rsidR="00D26EF3" w:rsidRDefault="00FD7E53">
            <w:pPr>
              <w:jc w:val="both"/>
            </w:pPr>
            <w:r>
              <w:t>SECTION 2.  This Act takes effect September 1, 2019.</w:t>
            </w:r>
          </w:p>
          <w:p w:rsidR="00D26EF3" w:rsidRDefault="00D26EF3">
            <w:pPr>
              <w:jc w:val="both"/>
            </w:pPr>
          </w:p>
        </w:tc>
        <w:tc>
          <w:tcPr>
            <w:tcW w:w="6480" w:type="dxa"/>
          </w:tcPr>
          <w:p w:rsidR="00D26EF3" w:rsidRDefault="00FD7E53">
            <w:pPr>
              <w:jc w:val="both"/>
            </w:pPr>
            <w:r>
              <w:t>SECTION 2. Same as House version.</w:t>
            </w:r>
          </w:p>
          <w:p w:rsidR="00D26EF3" w:rsidRDefault="00D26EF3">
            <w:pPr>
              <w:jc w:val="both"/>
            </w:pPr>
          </w:p>
          <w:p w:rsidR="00D26EF3" w:rsidRDefault="00D26EF3">
            <w:pPr>
              <w:jc w:val="both"/>
            </w:pPr>
          </w:p>
        </w:tc>
        <w:tc>
          <w:tcPr>
            <w:tcW w:w="5760" w:type="dxa"/>
          </w:tcPr>
          <w:p w:rsidR="00D26EF3" w:rsidRDefault="00D26EF3">
            <w:pPr>
              <w:jc w:val="both"/>
            </w:pPr>
          </w:p>
        </w:tc>
      </w:tr>
    </w:tbl>
    <w:p w:rsidR="00E64F46" w:rsidRDefault="00E64F46"/>
    <w:sectPr w:rsidR="00E64F46" w:rsidSect="00D26EF3">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EF3" w:rsidRDefault="00D26EF3" w:rsidP="00D26EF3">
      <w:r>
        <w:separator/>
      </w:r>
    </w:p>
  </w:endnote>
  <w:endnote w:type="continuationSeparator" w:id="0">
    <w:p w:rsidR="00D26EF3" w:rsidRDefault="00D26EF3" w:rsidP="00D26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7BA" w:rsidRDefault="002957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EF3" w:rsidRDefault="006F009F">
    <w:pPr>
      <w:tabs>
        <w:tab w:val="center" w:pos="9360"/>
        <w:tab w:val="right" w:pos="18720"/>
      </w:tabs>
    </w:pPr>
    <w:r>
      <w:fldChar w:fldCharType="begin"/>
    </w:r>
    <w:r>
      <w:instrText xml:space="preserve"> DOCPROPERTY  CCRF  \* MERGEFORMAT </w:instrText>
    </w:r>
    <w:r>
      <w:fldChar w:fldCharType="separate"/>
    </w:r>
    <w:r w:rsidR="00BA796E">
      <w:t xml:space="preserve"> </w:t>
    </w:r>
    <w:r>
      <w:fldChar w:fldCharType="end"/>
    </w:r>
    <w:r w:rsidR="00FD7E53">
      <w:tab/>
    </w:r>
    <w:r w:rsidR="00D26EF3">
      <w:fldChar w:fldCharType="begin"/>
    </w:r>
    <w:r w:rsidR="00FD7E53">
      <w:instrText xml:space="preserve"> PAGE </w:instrText>
    </w:r>
    <w:r w:rsidR="00D26EF3">
      <w:fldChar w:fldCharType="separate"/>
    </w:r>
    <w:r>
      <w:rPr>
        <w:noProof/>
      </w:rPr>
      <w:t>5</w:t>
    </w:r>
    <w:r w:rsidR="00D26EF3">
      <w:fldChar w:fldCharType="end"/>
    </w:r>
    <w:r w:rsidR="00FD7E53">
      <w:tab/>
    </w:r>
    <w:r w:rsidR="001D3486">
      <w:fldChar w:fldCharType="begin"/>
    </w:r>
    <w:r w:rsidR="001D3486">
      <w:instrText xml:space="preserve"> DOCPROPERTY  OTID  \* MERGEFORMAT </w:instrText>
    </w:r>
    <w:r w:rsidR="001D348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7BA" w:rsidRDefault="002957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EF3" w:rsidRDefault="00D26EF3" w:rsidP="00D26EF3">
      <w:r>
        <w:separator/>
      </w:r>
    </w:p>
  </w:footnote>
  <w:footnote w:type="continuationSeparator" w:id="0">
    <w:p w:rsidR="00D26EF3" w:rsidRDefault="00D26EF3" w:rsidP="00D26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7BA" w:rsidRDefault="002957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7BA" w:rsidRDefault="002957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7BA" w:rsidRDefault="002957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EF3"/>
    <w:rsid w:val="001D3486"/>
    <w:rsid w:val="002957BA"/>
    <w:rsid w:val="00546CFC"/>
    <w:rsid w:val="006F009F"/>
    <w:rsid w:val="00BA796E"/>
    <w:rsid w:val="00D26EF3"/>
    <w:rsid w:val="00E64F46"/>
    <w:rsid w:val="00F82EF4"/>
    <w:rsid w:val="00FD7E53"/>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F305FE-F548-436B-95A0-5E21BE098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EF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7BA"/>
    <w:pPr>
      <w:tabs>
        <w:tab w:val="center" w:pos="4680"/>
        <w:tab w:val="right" w:pos="9360"/>
      </w:tabs>
    </w:pPr>
  </w:style>
  <w:style w:type="character" w:customStyle="1" w:styleId="HeaderChar">
    <w:name w:val="Header Char"/>
    <w:basedOn w:val="DefaultParagraphFont"/>
    <w:link w:val="Header"/>
    <w:uiPriority w:val="99"/>
    <w:rsid w:val="002957BA"/>
    <w:rPr>
      <w:sz w:val="22"/>
    </w:rPr>
  </w:style>
  <w:style w:type="paragraph" w:styleId="Footer">
    <w:name w:val="footer"/>
    <w:basedOn w:val="Normal"/>
    <w:link w:val="FooterChar"/>
    <w:uiPriority w:val="99"/>
    <w:unhideWhenUsed/>
    <w:rsid w:val="002957BA"/>
    <w:pPr>
      <w:tabs>
        <w:tab w:val="center" w:pos="4680"/>
        <w:tab w:val="right" w:pos="9360"/>
      </w:tabs>
    </w:pPr>
  </w:style>
  <w:style w:type="character" w:customStyle="1" w:styleId="FooterChar">
    <w:name w:val="Footer Char"/>
    <w:basedOn w:val="DefaultParagraphFont"/>
    <w:link w:val="Footer"/>
    <w:uiPriority w:val="99"/>
    <w:rsid w:val="002957B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1003</Words>
  <Characters>5721</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HB6-SAA</vt:lpstr>
    </vt:vector>
  </TitlesOfParts>
  <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HB6-SAA</dc:title>
  <dc:subject/>
  <dc:creator>Hanna Brumbelow</dc:creator>
  <cp:keywords/>
  <dc:description/>
  <cp:lastModifiedBy>Hanna Brumbelow</cp:lastModifiedBy>
  <cp:revision>2</cp:revision>
  <dcterms:created xsi:type="dcterms:W3CDTF">2019-05-23T15:44:00Z</dcterms:created>
  <dcterms:modified xsi:type="dcterms:W3CDTF">2019-05-23T15:44:00Z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