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475B1" w:rsidTr="00C475B1">
        <w:trPr>
          <w:cantSplit/>
          <w:tblHeader/>
        </w:trPr>
        <w:tc>
          <w:tcPr>
            <w:tcW w:w="18740" w:type="dxa"/>
            <w:gridSpan w:val="3"/>
          </w:tcPr>
          <w:p w:rsidR="00A02F0D" w:rsidRDefault="003D3303">
            <w:pPr>
              <w:ind w:left="650"/>
              <w:jc w:val="center"/>
            </w:pPr>
            <w:bookmarkStart w:id="0" w:name="_GoBack"/>
            <w:bookmarkEnd w:id="0"/>
            <w:r>
              <w:rPr>
                <w:b/>
              </w:rPr>
              <w:t>House Bill  26</w:t>
            </w:r>
          </w:p>
          <w:p w:rsidR="00A02F0D" w:rsidRDefault="003D3303">
            <w:pPr>
              <w:ind w:left="650"/>
              <w:jc w:val="center"/>
            </w:pPr>
            <w:r>
              <w:t>Senate Amendments</w:t>
            </w:r>
          </w:p>
          <w:p w:rsidR="00A02F0D" w:rsidRDefault="003D3303">
            <w:pPr>
              <w:ind w:left="650"/>
              <w:jc w:val="center"/>
            </w:pPr>
            <w:r>
              <w:t>Section-by-Section Analysis</w:t>
            </w:r>
          </w:p>
          <w:p w:rsidR="00A02F0D" w:rsidRDefault="00A02F0D">
            <w:pPr>
              <w:jc w:val="center"/>
            </w:pPr>
          </w:p>
        </w:tc>
      </w:tr>
      <w:tr w:rsidR="00A02F0D" w:rsidTr="00C475B1">
        <w:trPr>
          <w:cantSplit/>
          <w:tblHeader/>
        </w:trPr>
        <w:tc>
          <w:tcPr>
            <w:tcW w:w="6248" w:type="dxa"/>
            <w:tcMar>
              <w:bottom w:w="188" w:type="dxa"/>
              <w:right w:w="0" w:type="dxa"/>
            </w:tcMar>
          </w:tcPr>
          <w:p w:rsidR="00A02F0D" w:rsidRDefault="003D3303">
            <w:pPr>
              <w:jc w:val="center"/>
            </w:pPr>
            <w:r>
              <w:t>HOUSE VERSION</w:t>
            </w:r>
          </w:p>
        </w:tc>
        <w:tc>
          <w:tcPr>
            <w:tcW w:w="6248" w:type="dxa"/>
            <w:tcMar>
              <w:bottom w:w="188" w:type="dxa"/>
              <w:right w:w="0" w:type="dxa"/>
            </w:tcMar>
          </w:tcPr>
          <w:p w:rsidR="00A02F0D" w:rsidRDefault="003D3303">
            <w:pPr>
              <w:jc w:val="center"/>
            </w:pPr>
            <w:r>
              <w:t>SENATE VERSION (CS)</w:t>
            </w:r>
          </w:p>
        </w:tc>
        <w:tc>
          <w:tcPr>
            <w:tcW w:w="6244" w:type="dxa"/>
            <w:tcMar>
              <w:bottom w:w="188" w:type="dxa"/>
              <w:right w:w="0" w:type="dxa"/>
            </w:tcMar>
          </w:tcPr>
          <w:p w:rsidR="00A02F0D" w:rsidRDefault="003D3303">
            <w:pPr>
              <w:jc w:val="center"/>
            </w:pPr>
            <w:r>
              <w:t>CONFERENCE</w:t>
            </w:r>
          </w:p>
        </w:tc>
      </w:tr>
      <w:tr w:rsidR="00A02F0D" w:rsidTr="00C475B1">
        <w:tc>
          <w:tcPr>
            <w:tcW w:w="6248" w:type="dxa"/>
          </w:tcPr>
          <w:p w:rsidR="00A02F0D" w:rsidRDefault="003D3303">
            <w:pPr>
              <w:jc w:val="both"/>
            </w:pPr>
            <w:r>
              <w:t>SECTION 1.  Section 12.052, Water Code, is amended by amending Subsection (a) and adding Subsections (a-1), (a-2), (a-3), and (a-4) to read as follows:</w:t>
            </w:r>
          </w:p>
          <w:p w:rsidR="00A02F0D" w:rsidRDefault="003D3303">
            <w:pPr>
              <w:jc w:val="both"/>
            </w:pPr>
            <w:r>
              <w:t xml:space="preserve">(a)  The commission shall make and enforce rules and orders and shall perform all other acts necessary to provide for the safe construction, </w:t>
            </w:r>
            <w:r>
              <w:rPr>
                <w:u w:val="single"/>
              </w:rPr>
              <w:t>operation,</w:t>
            </w:r>
            <w:r>
              <w:t xml:space="preserve"> maintenance, repair, [</w:t>
            </w:r>
            <w:r>
              <w:rPr>
                <w:strike/>
              </w:rPr>
              <w:t>and</w:t>
            </w:r>
            <w:r>
              <w:t>] removal</w:t>
            </w:r>
            <w:r>
              <w:rPr>
                <w:u w:val="single"/>
              </w:rPr>
              <w:t>, and emergency management</w:t>
            </w:r>
            <w:r>
              <w:t xml:space="preserve"> of dams located in this state. In performing the commission's duties under this subsection, the commission shall identify and focus on the most hazardous dams in the state.</w:t>
            </w:r>
          </w:p>
          <w:p w:rsidR="00A02F0D" w:rsidRDefault="003D3303">
            <w:pPr>
              <w:jc w:val="both"/>
            </w:pPr>
            <w:r>
              <w:rPr>
                <w:u w:val="single"/>
              </w:rPr>
              <w:t>(a-1)  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A02F0D" w:rsidRDefault="003D3303">
            <w:pPr>
              <w:jc w:val="both"/>
            </w:pPr>
            <w:r>
              <w:rPr>
                <w:u w:val="single"/>
              </w:rPr>
              <w:t>(a-2)  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A02F0D" w:rsidRDefault="003D3303">
            <w:pPr>
              <w:jc w:val="both"/>
            </w:pPr>
            <w:r>
              <w:rPr>
                <w:u w:val="single"/>
              </w:rPr>
              <w:t>(1)  the names of the dam and reservoir;</w:t>
            </w:r>
          </w:p>
          <w:p w:rsidR="00A02F0D" w:rsidRDefault="003D3303">
            <w:pPr>
              <w:jc w:val="both"/>
            </w:pPr>
            <w:r>
              <w:rPr>
                <w:u w:val="single"/>
              </w:rPr>
              <w:t>(2)  the communities downstream that may be impacted and estimated time of impact;</w:t>
            </w:r>
          </w:p>
          <w:p w:rsidR="00A02F0D" w:rsidRDefault="003D3303">
            <w:pPr>
              <w:jc w:val="both"/>
            </w:pPr>
            <w:r>
              <w:rPr>
                <w:u w:val="single"/>
              </w:rPr>
              <w:t>(3)  the names of affected river basins and tributaries;</w:t>
            </w:r>
          </w:p>
          <w:p w:rsidR="00A02F0D" w:rsidRDefault="003D3303">
            <w:pPr>
              <w:jc w:val="both"/>
            </w:pPr>
            <w:r>
              <w:rPr>
                <w:u w:val="single"/>
              </w:rPr>
              <w:t>(4)  the expected duration of the release;</w:t>
            </w:r>
          </w:p>
          <w:p w:rsidR="00A02F0D" w:rsidRDefault="003D3303">
            <w:pPr>
              <w:jc w:val="both"/>
            </w:pPr>
            <w:r>
              <w:rPr>
                <w:u w:val="single"/>
              </w:rPr>
              <w:t>(5)  the level of potential flooding according to the National Weather Service River Forecast Center; and</w:t>
            </w:r>
          </w:p>
          <w:p w:rsidR="00A02F0D" w:rsidRDefault="003D3303">
            <w:pPr>
              <w:jc w:val="both"/>
            </w:pPr>
            <w:r>
              <w:rPr>
                <w:u w:val="single"/>
              </w:rPr>
              <w:t>(6)  the roads or bridges that are expected to be affected.</w:t>
            </w:r>
          </w:p>
          <w:p w:rsidR="00A02F0D" w:rsidRDefault="003D3303">
            <w:pPr>
              <w:jc w:val="both"/>
            </w:pPr>
            <w:r>
              <w:rPr>
                <w:u w:val="single"/>
              </w:rPr>
              <w:t xml:space="preserve">(a-3)  A notice provided under Subsection (a-2) must include the following disclaimer:  "Actual flood conditions may vary significantly from the alert based on new or changed </w:t>
            </w:r>
            <w:r>
              <w:rPr>
                <w:u w:val="single"/>
              </w:rPr>
              <w:lastRenderedPageBreak/>
              <w:t>conditions; advanced alerts of changed conditions may not be possible."</w:t>
            </w:r>
          </w:p>
          <w:p w:rsidR="00A02F0D" w:rsidRDefault="003D3303">
            <w:pPr>
              <w:jc w:val="both"/>
            </w:pPr>
            <w:r>
              <w:rPr>
                <w:u w:val="single"/>
              </w:rPr>
              <w:t>(a-4)  Notwithstanding any other defense or immunity that may apply, a notice provided under Subsection (a-1) or (a-2) may not be considered an admission of liability and may not be used as evidence in any suit related to the releases that are the subject of the notice.</w:t>
            </w:r>
          </w:p>
          <w:p w:rsidR="00A02F0D" w:rsidRDefault="00A02F0D">
            <w:pPr>
              <w:jc w:val="both"/>
            </w:pPr>
          </w:p>
        </w:tc>
        <w:tc>
          <w:tcPr>
            <w:tcW w:w="6248" w:type="dxa"/>
          </w:tcPr>
          <w:p w:rsidR="00A02F0D" w:rsidRDefault="003D3303">
            <w:pPr>
              <w:jc w:val="both"/>
            </w:pPr>
            <w:r>
              <w:lastRenderedPageBreak/>
              <w:t>SECTION 1. Same as House version.</w:t>
            </w:r>
          </w:p>
          <w:p w:rsidR="00A02F0D" w:rsidRDefault="00A02F0D">
            <w:pPr>
              <w:jc w:val="both"/>
            </w:pPr>
          </w:p>
          <w:p w:rsidR="00A02F0D" w:rsidRDefault="00A02F0D">
            <w:pPr>
              <w:jc w:val="both"/>
            </w:pPr>
          </w:p>
        </w:tc>
        <w:tc>
          <w:tcPr>
            <w:tcW w:w="6244" w:type="dxa"/>
          </w:tcPr>
          <w:p w:rsidR="00A02F0D" w:rsidRDefault="00A02F0D">
            <w:pPr>
              <w:jc w:val="both"/>
            </w:pPr>
          </w:p>
        </w:tc>
      </w:tr>
      <w:tr w:rsidR="00A02F0D" w:rsidTr="00C475B1">
        <w:tc>
          <w:tcPr>
            <w:tcW w:w="6248" w:type="dxa"/>
          </w:tcPr>
          <w:p w:rsidR="00A02F0D" w:rsidRDefault="003D3303">
            <w:pPr>
              <w:jc w:val="both"/>
            </w:pPr>
            <w:r>
              <w:t>SECTION 2.  (a)  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A02F0D" w:rsidRDefault="003D3303">
            <w:pPr>
              <w:jc w:val="both"/>
            </w:pPr>
            <w:r>
              <w:t>(b)  Not later than June 1, 2020, a dam shall deliver the  notification plan described by Subsection (a) for each dam to the Texas Commission on Environmental Quality.</w:t>
            </w:r>
          </w:p>
          <w:p w:rsidR="00A02F0D" w:rsidRDefault="00A02F0D">
            <w:pPr>
              <w:jc w:val="both"/>
            </w:pPr>
          </w:p>
        </w:tc>
        <w:tc>
          <w:tcPr>
            <w:tcW w:w="6248" w:type="dxa"/>
          </w:tcPr>
          <w:p w:rsidR="00C475B1" w:rsidRDefault="00C475B1" w:rsidP="00C475B1">
            <w:pPr>
              <w:jc w:val="both"/>
            </w:pPr>
            <w:r>
              <w:t>SECTION 2.  (a)  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A02F0D" w:rsidRDefault="00C475B1" w:rsidP="00C475B1">
            <w:pPr>
              <w:jc w:val="both"/>
            </w:pPr>
            <w:r>
              <w:t xml:space="preserve">(b)  Not later than June 1, 2020, a dam </w:t>
            </w:r>
            <w:r w:rsidRPr="00C475B1">
              <w:rPr>
                <w:highlight w:val="lightGray"/>
              </w:rPr>
              <w:t>owner or operator</w:t>
            </w:r>
            <w:r>
              <w:t xml:space="preserve"> shall deliver the  notification plan described by Subsection (a) </w:t>
            </w:r>
            <w:r w:rsidRPr="00C475B1">
              <w:rPr>
                <w:highlight w:val="lightGray"/>
              </w:rPr>
              <w:t>of this section</w:t>
            </w:r>
            <w:r>
              <w:t xml:space="preserve"> for each dam to the Texas Commission on Environmental Quality.</w:t>
            </w:r>
          </w:p>
        </w:tc>
        <w:tc>
          <w:tcPr>
            <w:tcW w:w="6244" w:type="dxa"/>
          </w:tcPr>
          <w:p w:rsidR="00A02F0D" w:rsidRDefault="00A02F0D">
            <w:pPr>
              <w:jc w:val="both"/>
            </w:pPr>
          </w:p>
        </w:tc>
      </w:tr>
      <w:tr w:rsidR="00A02F0D" w:rsidTr="00C475B1">
        <w:tc>
          <w:tcPr>
            <w:tcW w:w="6248" w:type="dxa"/>
          </w:tcPr>
          <w:p w:rsidR="00A02F0D" w:rsidRDefault="003D3303">
            <w:pPr>
              <w:jc w:val="both"/>
            </w:pPr>
            <w:r>
              <w:t>SECTION 3.  This Act takes effect September 1, 2019.</w:t>
            </w:r>
          </w:p>
          <w:p w:rsidR="00A02F0D" w:rsidRDefault="00A02F0D">
            <w:pPr>
              <w:jc w:val="both"/>
            </w:pPr>
          </w:p>
        </w:tc>
        <w:tc>
          <w:tcPr>
            <w:tcW w:w="6248" w:type="dxa"/>
          </w:tcPr>
          <w:p w:rsidR="00A02F0D" w:rsidRDefault="003D3303">
            <w:pPr>
              <w:jc w:val="both"/>
            </w:pPr>
            <w:r>
              <w:t>SECTION 3. Same as House version.</w:t>
            </w:r>
          </w:p>
          <w:p w:rsidR="00A02F0D" w:rsidRDefault="00A02F0D">
            <w:pPr>
              <w:jc w:val="both"/>
            </w:pPr>
          </w:p>
          <w:p w:rsidR="00A02F0D" w:rsidRDefault="00A02F0D">
            <w:pPr>
              <w:jc w:val="both"/>
            </w:pPr>
          </w:p>
        </w:tc>
        <w:tc>
          <w:tcPr>
            <w:tcW w:w="6244" w:type="dxa"/>
          </w:tcPr>
          <w:p w:rsidR="00A02F0D" w:rsidRDefault="00A02F0D">
            <w:pPr>
              <w:jc w:val="both"/>
            </w:pPr>
          </w:p>
        </w:tc>
      </w:tr>
    </w:tbl>
    <w:p w:rsidR="000544F7" w:rsidRDefault="000544F7"/>
    <w:sectPr w:rsidR="000544F7" w:rsidSect="00A02F0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0D" w:rsidRDefault="00A02F0D" w:rsidP="00A02F0D">
      <w:r>
        <w:separator/>
      </w:r>
    </w:p>
  </w:endnote>
  <w:endnote w:type="continuationSeparator" w:id="0">
    <w:p w:rsidR="00A02F0D" w:rsidRDefault="00A02F0D" w:rsidP="00A0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F" w:rsidRDefault="00A9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0D" w:rsidRDefault="00BD7F06">
    <w:pPr>
      <w:tabs>
        <w:tab w:val="center" w:pos="9360"/>
        <w:tab w:val="right" w:pos="18720"/>
      </w:tabs>
    </w:pPr>
    <w:r>
      <w:fldChar w:fldCharType="begin"/>
    </w:r>
    <w:r>
      <w:instrText xml:space="preserve"> DOCPROPERTY  CCRF  \* MERGEFORMAT </w:instrText>
    </w:r>
    <w:r>
      <w:fldChar w:fldCharType="separate"/>
    </w:r>
    <w:r w:rsidR="00315E90">
      <w:t xml:space="preserve"> </w:t>
    </w:r>
    <w:r>
      <w:fldChar w:fldCharType="end"/>
    </w:r>
    <w:r w:rsidR="003D3303">
      <w:tab/>
    </w:r>
    <w:r w:rsidR="00A02F0D">
      <w:fldChar w:fldCharType="begin"/>
    </w:r>
    <w:r w:rsidR="003D3303">
      <w:instrText xml:space="preserve"> PAGE </w:instrText>
    </w:r>
    <w:r w:rsidR="00A02F0D">
      <w:fldChar w:fldCharType="separate"/>
    </w:r>
    <w:r>
      <w:rPr>
        <w:noProof/>
      </w:rPr>
      <w:t>2</w:t>
    </w:r>
    <w:r w:rsidR="00A02F0D">
      <w:fldChar w:fldCharType="end"/>
    </w:r>
    <w:r w:rsidR="003D3303">
      <w:tab/>
    </w:r>
    <w:r w:rsidR="000F59D6">
      <w:fldChar w:fldCharType="begin"/>
    </w:r>
    <w:r w:rsidR="000F59D6">
      <w:instrText xml:space="preserve"> DOCPROPERTY  OTID  \* MERGEFORMAT </w:instrText>
    </w:r>
    <w:r w:rsidR="000F59D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F" w:rsidRDefault="00A9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0D" w:rsidRDefault="00A02F0D" w:rsidP="00A02F0D">
      <w:r>
        <w:separator/>
      </w:r>
    </w:p>
  </w:footnote>
  <w:footnote w:type="continuationSeparator" w:id="0">
    <w:p w:rsidR="00A02F0D" w:rsidRDefault="00A02F0D" w:rsidP="00A0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F" w:rsidRDefault="00A9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F" w:rsidRDefault="00A9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6F" w:rsidRDefault="00A95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0D"/>
    <w:rsid w:val="000544F7"/>
    <w:rsid w:val="000F59D6"/>
    <w:rsid w:val="001C61B5"/>
    <w:rsid w:val="00315E90"/>
    <w:rsid w:val="003D3303"/>
    <w:rsid w:val="00A02F0D"/>
    <w:rsid w:val="00A9516F"/>
    <w:rsid w:val="00BD7F06"/>
    <w:rsid w:val="00C100F9"/>
    <w:rsid w:val="00C475B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E587B-2FEF-4F1A-9245-8F58786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6F"/>
    <w:pPr>
      <w:tabs>
        <w:tab w:val="center" w:pos="4680"/>
        <w:tab w:val="right" w:pos="9360"/>
      </w:tabs>
    </w:pPr>
  </w:style>
  <w:style w:type="character" w:customStyle="1" w:styleId="HeaderChar">
    <w:name w:val="Header Char"/>
    <w:basedOn w:val="DefaultParagraphFont"/>
    <w:link w:val="Header"/>
    <w:uiPriority w:val="99"/>
    <w:rsid w:val="00A9516F"/>
    <w:rPr>
      <w:sz w:val="22"/>
    </w:rPr>
  </w:style>
  <w:style w:type="paragraph" w:styleId="Footer">
    <w:name w:val="footer"/>
    <w:basedOn w:val="Normal"/>
    <w:link w:val="FooterChar"/>
    <w:uiPriority w:val="99"/>
    <w:unhideWhenUsed/>
    <w:rsid w:val="00A9516F"/>
    <w:pPr>
      <w:tabs>
        <w:tab w:val="center" w:pos="4680"/>
        <w:tab w:val="right" w:pos="9360"/>
      </w:tabs>
    </w:pPr>
  </w:style>
  <w:style w:type="character" w:customStyle="1" w:styleId="FooterChar">
    <w:name w:val="Footer Char"/>
    <w:basedOn w:val="DefaultParagraphFont"/>
    <w:link w:val="Footer"/>
    <w:uiPriority w:val="99"/>
    <w:rsid w:val="00A951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HB26-SAA</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HB26-SAA</dc:title>
  <dc:subject/>
  <dc:creator>Hanna Brumbelow</dc:creator>
  <cp:keywords/>
  <dc:description/>
  <cp:lastModifiedBy>Hanna Brumbelow</cp:lastModifiedBy>
  <cp:revision>2</cp:revision>
  <dcterms:created xsi:type="dcterms:W3CDTF">2019-05-17T18:49:00Z</dcterms:created>
  <dcterms:modified xsi:type="dcterms:W3CDTF">2019-05-17T18:49:00Z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