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742C4" w:rsidTr="00F742C4">
        <w:trPr>
          <w:cantSplit/>
          <w:tblHeader/>
        </w:trPr>
        <w:tc>
          <w:tcPr>
            <w:tcW w:w="18713" w:type="dxa"/>
            <w:gridSpan w:val="3"/>
          </w:tcPr>
          <w:p w:rsidR="00F156CB" w:rsidRDefault="00CA7DF2">
            <w:pPr>
              <w:ind w:left="650"/>
              <w:jc w:val="center"/>
            </w:pPr>
            <w:bookmarkStart w:id="0" w:name="_GoBack"/>
            <w:bookmarkEnd w:id="0"/>
            <w:r>
              <w:rPr>
                <w:b/>
              </w:rPr>
              <w:t>House Bill  109</w:t>
            </w:r>
          </w:p>
          <w:p w:rsidR="00F156CB" w:rsidRDefault="00CA7DF2">
            <w:pPr>
              <w:ind w:left="650"/>
              <w:jc w:val="center"/>
            </w:pPr>
            <w:r>
              <w:t>Senate Amendments</w:t>
            </w:r>
          </w:p>
          <w:p w:rsidR="00F156CB" w:rsidRDefault="00CA7DF2">
            <w:pPr>
              <w:ind w:left="650"/>
              <w:jc w:val="center"/>
            </w:pPr>
            <w:r>
              <w:t>Section-by-Section Analysis</w:t>
            </w:r>
          </w:p>
          <w:p w:rsidR="00F156CB" w:rsidRDefault="00F156CB">
            <w:pPr>
              <w:jc w:val="center"/>
            </w:pPr>
          </w:p>
        </w:tc>
      </w:tr>
      <w:tr w:rsidR="00F156CB">
        <w:trPr>
          <w:cantSplit/>
          <w:tblHeader/>
        </w:trPr>
        <w:tc>
          <w:tcPr>
            <w:tcW w:w="1667" w:type="pct"/>
            <w:tcMar>
              <w:bottom w:w="188" w:type="dxa"/>
              <w:right w:w="0" w:type="dxa"/>
            </w:tcMar>
          </w:tcPr>
          <w:p w:rsidR="00F156CB" w:rsidRDefault="00CA7DF2">
            <w:pPr>
              <w:jc w:val="center"/>
            </w:pPr>
            <w:r>
              <w:t>HOUSE VERSION</w:t>
            </w:r>
          </w:p>
        </w:tc>
        <w:tc>
          <w:tcPr>
            <w:tcW w:w="1667" w:type="pct"/>
            <w:tcMar>
              <w:bottom w:w="188" w:type="dxa"/>
              <w:right w:w="0" w:type="dxa"/>
            </w:tcMar>
          </w:tcPr>
          <w:p w:rsidR="00F156CB" w:rsidRDefault="00CA7DF2">
            <w:pPr>
              <w:jc w:val="center"/>
            </w:pPr>
            <w:r>
              <w:t>SENATE VERSION (IE)</w:t>
            </w:r>
          </w:p>
        </w:tc>
        <w:tc>
          <w:tcPr>
            <w:tcW w:w="1667" w:type="pct"/>
            <w:tcMar>
              <w:bottom w:w="188" w:type="dxa"/>
              <w:right w:w="0" w:type="dxa"/>
            </w:tcMar>
          </w:tcPr>
          <w:p w:rsidR="00F156CB" w:rsidRDefault="00CA7DF2">
            <w:pPr>
              <w:jc w:val="center"/>
            </w:pPr>
            <w:r>
              <w:t>CONFERENCE</w:t>
            </w:r>
          </w:p>
        </w:tc>
      </w:tr>
      <w:tr w:rsidR="00F156CB">
        <w:tc>
          <w:tcPr>
            <w:tcW w:w="6473" w:type="dxa"/>
          </w:tcPr>
          <w:p w:rsidR="00F156CB" w:rsidRDefault="00CA7DF2">
            <w:pPr>
              <w:jc w:val="both"/>
            </w:pPr>
            <w:r w:rsidRPr="00F742C4">
              <w:rPr>
                <w:highlight w:val="lightGray"/>
              </w:rPr>
              <w:t>No equivalent provision.</w:t>
            </w:r>
          </w:p>
          <w:p w:rsidR="00F156CB" w:rsidRDefault="00F156CB">
            <w:pPr>
              <w:jc w:val="both"/>
            </w:pPr>
          </w:p>
        </w:tc>
        <w:tc>
          <w:tcPr>
            <w:tcW w:w="6480" w:type="dxa"/>
          </w:tcPr>
          <w:p w:rsidR="00F156CB" w:rsidRDefault="00CA7DF2">
            <w:pPr>
              <w:jc w:val="both"/>
            </w:pPr>
            <w:r>
              <w:t>SECTION __.  Section 12A.004(a), Education Code, is amended to read as follows:</w:t>
            </w:r>
          </w:p>
          <w:p w:rsidR="00F156CB" w:rsidRDefault="00CA7DF2">
            <w:pPr>
              <w:jc w:val="both"/>
            </w:pPr>
            <w:r>
              <w:t>(a)  A local innovation plan may not provide for the exemption of a district designated as a district of innovation from the following provisions of this title:</w:t>
            </w:r>
          </w:p>
          <w:p w:rsidR="00F156CB" w:rsidRDefault="00CA7DF2">
            <w:pPr>
              <w:jc w:val="both"/>
            </w:pPr>
            <w:r>
              <w:t>(1)  a state or federal requirement applicable to an open-enrollment charter school operating under Subchapter D, Chapter 12</w:t>
            </w:r>
            <w:r>
              <w:rPr>
                <w:u w:val="single"/>
              </w:rPr>
              <w:t>, except that a district may be exempt from Section 25.081(f)</w:t>
            </w:r>
            <w:r>
              <w:t>;</w:t>
            </w:r>
          </w:p>
          <w:p w:rsidR="00F156CB" w:rsidRDefault="00CA7DF2">
            <w:pPr>
              <w:jc w:val="both"/>
            </w:pPr>
            <w:r>
              <w:t>(2)  Subchapters A, C, D, and E, Chapter 11, except that a district may be exempt from Sections 11.1511(b)(5) and (14) and Section 11.162;</w:t>
            </w:r>
          </w:p>
          <w:p w:rsidR="00F156CB" w:rsidRDefault="00CA7DF2">
            <w:pPr>
              <w:jc w:val="both"/>
            </w:pPr>
            <w:r>
              <w:t>(3)  state curriculum and graduation requirements adopted under Chapter 28; and</w:t>
            </w:r>
          </w:p>
          <w:p w:rsidR="00F156CB" w:rsidRDefault="00CA7DF2">
            <w:pPr>
              <w:jc w:val="both"/>
            </w:pPr>
            <w:r>
              <w:t>(4)  academic and financial accountability and sanctions under Chapters 39 and 39A.  [FA1]</w:t>
            </w:r>
          </w:p>
          <w:p w:rsidR="00F156CB" w:rsidRDefault="00F156CB">
            <w:pPr>
              <w:jc w:val="both"/>
            </w:pPr>
          </w:p>
        </w:tc>
        <w:tc>
          <w:tcPr>
            <w:tcW w:w="5760" w:type="dxa"/>
          </w:tcPr>
          <w:p w:rsidR="00F156CB" w:rsidRDefault="00F156CB">
            <w:pPr>
              <w:jc w:val="both"/>
            </w:pPr>
          </w:p>
        </w:tc>
      </w:tr>
      <w:tr w:rsidR="00F156CB">
        <w:tc>
          <w:tcPr>
            <w:tcW w:w="6473" w:type="dxa"/>
          </w:tcPr>
          <w:p w:rsidR="00F156CB" w:rsidRDefault="00CA7DF2">
            <w:pPr>
              <w:jc w:val="both"/>
            </w:pPr>
            <w:r>
              <w:t>SECTION 1.  Section 25.081(f), Education Code, as added by Chapter 1144 (H.B. 441), Acts of the 85th Legislature, Regular Session, 2017, is amended to read as follows:</w:t>
            </w:r>
          </w:p>
          <w:p w:rsidR="00F156CB" w:rsidRDefault="00CA7DF2">
            <w:pPr>
              <w:jc w:val="both"/>
            </w:pPr>
            <w:r>
              <w:t xml:space="preserve">(f)  A school district </w:t>
            </w:r>
            <w:r>
              <w:rPr>
                <w:u w:val="single"/>
              </w:rPr>
              <w:t>or open-enrollment charter school</w:t>
            </w:r>
            <w:r>
              <w:t xml:space="preserve"> may not provide student instruction on Memorial Day.  If a school district </w:t>
            </w:r>
            <w:r>
              <w:rPr>
                <w:u w:val="single"/>
              </w:rPr>
              <w:t>or open-enrollment charter school</w:t>
            </w:r>
            <w:r>
              <w:t xml:space="preserve"> would be required to provide student instruction on Memorial Day to compensate for minutes of instruction lost because of school closures caused by disaster, flood, extreme weather conditions, fuel curtailment, or another calamity, the commissioner shall approve the instruction of students for fewer than the number of minutes required under Subsection (a).</w:t>
            </w:r>
          </w:p>
          <w:p w:rsidR="00F156CB" w:rsidRDefault="00F156CB">
            <w:pPr>
              <w:jc w:val="both"/>
            </w:pPr>
          </w:p>
        </w:tc>
        <w:tc>
          <w:tcPr>
            <w:tcW w:w="6480" w:type="dxa"/>
          </w:tcPr>
          <w:p w:rsidR="00F156CB" w:rsidRDefault="00CA7DF2">
            <w:pPr>
              <w:jc w:val="both"/>
            </w:pPr>
            <w:r>
              <w:t>SECTION 1. Same as House version.</w:t>
            </w:r>
          </w:p>
          <w:p w:rsidR="00F156CB" w:rsidRDefault="00F156CB">
            <w:pPr>
              <w:jc w:val="both"/>
            </w:pPr>
          </w:p>
          <w:p w:rsidR="00F156CB" w:rsidRDefault="00F156CB">
            <w:pPr>
              <w:jc w:val="both"/>
            </w:pPr>
          </w:p>
        </w:tc>
        <w:tc>
          <w:tcPr>
            <w:tcW w:w="5760" w:type="dxa"/>
          </w:tcPr>
          <w:p w:rsidR="00F156CB" w:rsidRDefault="00F156CB">
            <w:pPr>
              <w:jc w:val="both"/>
            </w:pPr>
          </w:p>
        </w:tc>
      </w:tr>
      <w:tr w:rsidR="00F156CB">
        <w:tc>
          <w:tcPr>
            <w:tcW w:w="6473" w:type="dxa"/>
          </w:tcPr>
          <w:p w:rsidR="00F156CB" w:rsidRDefault="00CA7DF2">
            <w:pPr>
              <w:jc w:val="both"/>
            </w:pPr>
            <w:r>
              <w:lastRenderedPageBreak/>
              <w:t>SECTION 2.  This Act applies beginning with the 2019-2020 school year.</w:t>
            </w:r>
          </w:p>
          <w:p w:rsidR="00F156CB" w:rsidRDefault="00F156CB">
            <w:pPr>
              <w:jc w:val="both"/>
            </w:pPr>
          </w:p>
        </w:tc>
        <w:tc>
          <w:tcPr>
            <w:tcW w:w="6480" w:type="dxa"/>
          </w:tcPr>
          <w:p w:rsidR="00F156CB" w:rsidRDefault="00CA7DF2">
            <w:pPr>
              <w:jc w:val="both"/>
            </w:pPr>
            <w:r>
              <w:t>SECTION 2. Same as House version.</w:t>
            </w:r>
          </w:p>
          <w:p w:rsidR="00F156CB" w:rsidRDefault="00F156CB">
            <w:pPr>
              <w:jc w:val="both"/>
            </w:pPr>
          </w:p>
          <w:p w:rsidR="00F156CB" w:rsidRDefault="00F156CB">
            <w:pPr>
              <w:jc w:val="both"/>
            </w:pPr>
          </w:p>
        </w:tc>
        <w:tc>
          <w:tcPr>
            <w:tcW w:w="5760" w:type="dxa"/>
          </w:tcPr>
          <w:p w:rsidR="00F156CB" w:rsidRDefault="00F156CB">
            <w:pPr>
              <w:jc w:val="both"/>
            </w:pPr>
          </w:p>
        </w:tc>
      </w:tr>
      <w:tr w:rsidR="00F156CB">
        <w:tc>
          <w:tcPr>
            <w:tcW w:w="6473" w:type="dxa"/>
          </w:tcPr>
          <w:p w:rsidR="00F156CB" w:rsidRDefault="00CA7DF2">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F156CB" w:rsidRDefault="00F156CB">
            <w:pPr>
              <w:jc w:val="both"/>
            </w:pPr>
          </w:p>
        </w:tc>
        <w:tc>
          <w:tcPr>
            <w:tcW w:w="6480" w:type="dxa"/>
          </w:tcPr>
          <w:p w:rsidR="00F156CB" w:rsidRDefault="00CA7DF2">
            <w:pPr>
              <w:jc w:val="both"/>
            </w:pPr>
            <w:r>
              <w:t>SECTION 3. Same as House version.</w:t>
            </w:r>
          </w:p>
          <w:p w:rsidR="00F156CB" w:rsidRDefault="00F156CB">
            <w:pPr>
              <w:jc w:val="both"/>
            </w:pPr>
          </w:p>
          <w:p w:rsidR="00F156CB" w:rsidRDefault="00F156CB">
            <w:pPr>
              <w:jc w:val="both"/>
            </w:pPr>
          </w:p>
        </w:tc>
        <w:tc>
          <w:tcPr>
            <w:tcW w:w="5760" w:type="dxa"/>
          </w:tcPr>
          <w:p w:rsidR="00F156CB" w:rsidRDefault="00F156CB">
            <w:pPr>
              <w:jc w:val="both"/>
            </w:pPr>
          </w:p>
        </w:tc>
      </w:tr>
    </w:tbl>
    <w:p w:rsidR="00A20A89" w:rsidRDefault="00A20A89"/>
    <w:sectPr w:rsidR="00A20A89" w:rsidSect="00F156C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CB" w:rsidRDefault="00F156CB" w:rsidP="00F156CB">
      <w:r>
        <w:separator/>
      </w:r>
    </w:p>
  </w:endnote>
  <w:endnote w:type="continuationSeparator" w:id="0">
    <w:p w:rsidR="00F156CB" w:rsidRDefault="00F156CB" w:rsidP="00F1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1E" w:rsidRDefault="00085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CB" w:rsidRDefault="00A74C13">
    <w:pPr>
      <w:tabs>
        <w:tab w:val="center" w:pos="9360"/>
        <w:tab w:val="right" w:pos="18720"/>
      </w:tabs>
    </w:pPr>
    <w:r>
      <w:fldChar w:fldCharType="begin"/>
    </w:r>
    <w:r>
      <w:instrText xml:space="preserve"> DOCPROPERTY  CCRF  \* MERGEFORMAT </w:instrText>
    </w:r>
    <w:r>
      <w:fldChar w:fldCharType="separate"/>
    </w:r>
    <w:r w:rsidR="00A23F06">
      <w:t xml:space="preserve"> </w:t>
    </w:r>
    <w:r>
      <w:fldChar w:fldCharType="end"/>
    </w:r>
    <w:r w:rsidR="00CA7DF2">
      <w:tab/>
    </w:r>
    <w:r w:rsidR="00F156CB">
      <w:fldChar w:fldCharType="begin"/>
    </w:r>
    <w:r w:rsidR="00CA7DF2">
      <w:instrText xml:space="preserve"> PAGE </w:instrText>
    </w:r>
    <w:r w:rsidR="00F156CB">
      <w:fldChar w:fldCharType="separate"/>
    </w:r>
    <w:r>
      <w:rPr>
        <w:noProof/>
      </w:rPr>
      <w:t>2</w:t>
    </w:r>
    <w:r w:rsidR="00F156CB">
      <w:fldChar w:fldCharType="end"/>
    </w:r>
    <w:r w:rsidR="00CA7DF2">
      <w:tab/>
    </w:r>
    <w:r w:rsidR="00965B61">
      <w:fldChar w:fldCharType="begin"/>
    </w:r>
    <w:r w:rsidR="00965B61">
      <w:instrText xml:space="preserve"> DOCPROPERTY  OTID  \* MERGEFORMAT </w:instrText>
    </w:r>
    <w:r w:rsidR="00965B6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1E" w:rsidRDefault="00085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CB" w:rsidRDefault="00F156CB" w:rsidP="00F156CB">
      <w:r>
        <w:separator/>
      </w:r>
    </w:p>
  </w:footnote>
  <w:footnote w:type="continuationSeparator" w:id="0">
    <w:p w:rsidR="00F156CB" w:rsidRDefault="00F156CB" w:rsidP="00F1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1E" w:rsidRDefault="00085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1E" w:rsidRDefault="00085B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1E" w:rsidRDefault="00085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CB"/>
    <w:rsid w:val="00085B1E"/>
    <w:rsid w:val="001540C9"/>
    <w:rsid w:val="00965B61"/>
    <w:rsid w:val="00A20A89"/>
    <w:rsid w:val="00A23F06"/>
    <w:rsid w:val="00A74C13"/>
    <w:rsid w:val="00CA7DF2"/>
    <w:rsid w:val="00F156CB"/>
    <w:rsid w:val="00F742C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5F7BA-A44E-41B4-803B-CB82A671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C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1E"/>
    <w:pPr>
      <w:tabs>
        <w:tab w:val="center" w:pos="4680"/>
        <w:tab w:val="right" w:pos="9360"/>
      </w:tabs>
    </w:pPr>
  </w:style>
  <w:style w:type="character" w:customStyle="1" w:styleId="HeaderChar">
    <w:name w:val="Header Char"/>
    <w:basedOn w:val="DefaultParagraphFont"/>
    <w:link w:val="Header"/>
    <w:uiPriority w:val="99"/>
    <w:rsid w:val="00085B1E"/>
    <w:rPr>
      <w:sz w:val="22"/>
    </w:rPr>
  </w:style>
  <w:style w:type="paragraph" w:styleId="Footer">
    <w:name w:val="footer"/>
    <w:basedOn w:val="Normal"/>
    <w:link w:val="FooterChar"/>
    <w:uiPriority w:val="99"/>
    <w:unhideWhenUsed/>
    <w:rsid w:val="00085B1E"/>
    <w:pPr>
      <w:tabs>
        <w:tab w:val="center" w:pos="4680"/>
        <w:tab w:val="right" w:pos="9360"/>
      </w:tabs>
    </w:pPr>
  </w:style>
  <w:style w:type="character" w:customStyle="1" w:styleId="FooterChar">
    <w:name w:val="Footer Char"/>
    <w:basedOn w:val="DefaultParagraphFont"/>
    <w:link w:val="Footer"/>
    <w:uiPriority w:val="99"/>
    <w:rsid w:val="00085B1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HB109-SAA</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HB109-SAA</dc:title>
  <dc:subject/>
  <dc:creator>Madeline Taylor</dc:creator>
  <cp:keywords/>
  <dc:description/>
  <cp:lastModifiedBy>Madeline Taylor</cp:lastModifiedBy>
  <cp:revision>2</cp:revision>
  <dcterms:created xsi:type="dcterms:W3CDTF">2019-05-15T20:06:00Z</dcterms:created>
  <dcterms:modified xsi:type="dcterms:W3CDTF">2019-05-15T20:06:00Z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