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A32127" w:rsidTr="00A32127">
        <w:trPr>
          <w:cantSplit/>
          <w:tblHeader/>
        </w:trPr>
        <w:tc>
          <w:tcPr>
            <w:tcW w:w="18740" w:type="dxa"/>
            <w:gridSpan w:val="3"/>
          </w:tcPr>
          <w:p w:rsidR="00D67072" w:rsidRDefault="001358B7">
            <w:pPr>
              <w:ind w:left="650"/>
              <w:jc w:val="center"/>
            </w:pPr>
            <w:bookmarkStart w:id="0" w:name="_GoBack"/>
            <w:bookmarkEnd w:id="0"/>
            <w:r>
              <w:rPr>
                <w:b/>
              </w:rPr>
              <w:t>House Bill  1028</w:t>
            </w:r>
          </w:p>
          <w:p w:rsidR="00D67072" w:rsidRDefault="001358B7">
            <w:pPr>
              <w:ind w:left="650"/>
              <w:jc w:val="center"/>
            </w:pPr>
            <w:r>
              <w:t>Senate Amendments</w:t>
            </w:r>
          </w:p>
          <w:p w:rsidR="00D67072" w:rsidRDefault="001358B7">
            <w:pPr>
              <w:ind w:left="650"/>
              <w:jc w:val="center"/>
            </w:pPr>
            <w:r>
              <w:t>Section-by-Section Analysis</w:t>
            </w:r>
          </w:p>
          <w:p w:rsidR="00D67072" w:rsidRDefault="00D67072">
            <w:pPr>
              <w:jc w:val="center"/>
            </w:pPr>
          </w:p>
        </w:tc>
      </w:tr>
      <w:tr w:rsidR="00D67072" w:rsidTr="00A32127">
        <w:trPr>
          <w:cantSplit/>
          <w:tblHeader/>
        </w:trPr>
        <w:tc>
          <w:tcPr>
            <w:tcW w:w="6248" w:type="dxa"/>
            <w:tcMar>
              <w:bottom w:w="188" w:type="dxa"/>
              <w:right w:w="0" w:type="dxa"/>
            </w:tcMar>
          </w:tcPr>
          <w:p w:rsidR="00D67072" w:rsidRDefault="001358B7">
            <w:pPr>
              <w:jc w:val="center"/>
            </w:pPr>
            <w:r>
              <w:t>HOUSE VERSION</w:t>
            </w:r>
          </w:p>
        </w:tc>
        <w:tc>
          <w:tcPr>
            <w:tcW w:w="6248" w:type="dxa"/>
            <w:tcMar>
              <w:bottom w:w="188" w:type="dxa"/>
              <w:right w:w="0" w:type="dxa"/>
            </w:tcMar>
          </w:tcPr>
          <w:p w:rsidR="00D67072" w:rsidRDefault="001358B7">
            <w:pPr>
              <w:jc w:val="center"/>
            </w:pPr>
            <w:r>
              <w:t>SENATE VERSION (CS)</w:t>
            </w:r>
          </w:p>
        </w:tc>
        <w:tc>
          <w:tcPr>
            <w:tcW w:w="6244" w:type="dxa"/>
            <w:tcMar>
              <w:bottom w:w="188" w:type="dxa"/>
              <w:right w:w="0" w:type="dxa"/>
            </w:tcMar>
          </w:tcPr>
          <w:p w:rsidR="00D67072" w:rsidRDefault="001358B7">
            <w:pPr>
              <w:jc w:val="center"/>
            </w:pPr>
            <w:r>
              <w:t>CONFERENCE</w:t>
            </w:r>
          </w:p>
        </w:tc>
      </w:tr>
      <w:tr w:rsidR="00D67072" w:rsidTr="00A32127">
        <w:tc>
          <w:tcPr>
            <w:tcW w:w="6248" w:type="dxa"/>
          </w:tcPr>
          <w:p w:rsidR="00D67072" w:rsidRDefault="001358B7">
            <w:pPr>
              <w:jc w:val="both"/>
            </w:pPr>
            <w:r>
              <w:t xml:space="preserve">SECTION 1.  Sections 12.50(b), (c), </w:t>
            </w:r>
            <w:r w:rsidRPr="000C5E78">
              <w:t>and (d), Penal</w:t>
            </w:r>
            <w:r>
              <w:t xml:space="preserve"> Code, are amended to read as follows:</w:t>
            </w:r>
          </w:p>
          <w:p w:rsidR="00D67072" w:rsidRDefault="001358B7">
            <w:pPr>
              <w:jc w:val="both"/>
            </w:pPr>
            <w:r>
              <w:t>(b)  The increase in punishment authorized by this section applies only to an offense under:</w:t>
            </w:r>
          </w:p>
          <w:p w:rsidR="00D67072" w:rsidRDefault="001358B7">
            <w:pPr>
              <w:jc w:val="both"/>
            </w:pPr>
            <w:r>
              <w:t>(1)  Section 22.01;</w:t>
            </w:r>
          </w:p>
          <w:p w:rsidR="00D67072" w:rsidRDefault="001358B7">
            <w:pPr>
              <w:jc w:val="both"/>
            </w:pPr>
            <w:r>
              <w:t xml:space="preserve">(2)  </w:t>
            </w:r>
            <w:r>
              <w:rPr>
                <w:u w:val="single"/>
              </w:rPr>
              <w:t>Section 28.02;</w:t>
            </w:r>
          </w:p>
          <w:p w:rsidR="00D67072" w:rsidRDefault="001358B7">
            <w:pPr>
              <w:jc w:val="both"/>
            </w:pPr>
            <w:r>
              <w:rPr>
                <w:u w:val="single"/>
              </w:rPr>
              <w:t>(3)</w:t>
            </w:r>
            <w:r>
              <w:t xml:space="preserve">  Section 29.02;</w:t>
            </w:r>
          </w:p>
          <w:p w:rsidR="00D67072" w:rsidRDefault="001358B7">
            <w:pPr>
              <w:jc w:val="both"/>
            </w:pPr>
            <w:r>
              <w:rPr>
                <w:u w:val="single"/>
              </w:rPr>
              <w:t>(4)</w:t>
            </w:r>
            <w:r>
              <w:t xml:space="preserve"> [</w:t>
            </w:r>
            <w:r>
              <w:rPr>
                <w:strike/>
              </w:rPr>
              <w:t>(3)</w:t>
            </w:r>
            <w:r>
              <w:t>]  Section 30.02;</w:t>
            </w:r>
          </w:p>
          <w:p w:rsidR="00D67072" w:rsidRDefault="001358B7">
            <w:pPr>
              <w:jc w:val="both"/>
            </w:pPr>
            <w:r>
              <w:rPr>
                <w:u w:val="single"/>
              </w:rPr>
              <w:t>(5)  Section 30.03;</w:t>
            </w:r>
          </w:p>
          <w:p w:rsidR="00D67072" w:rsidRDefault="001358B7">
            <w:pPr>
              <w:jc w:val="both"/>
            </w:pPr>
            <w:r>
              <w:rPr>
                <w:u w:val="single"/>
              </w:rPr>
              <w:t>(6)  Section 30.04;</w:t>
            </w:r>
            <w:r>
              <w:t xml:space="preserve"> </w:t>
            </w:r>
            <w:r w:rsidRPr="00D04ADD">
              <w:rPr>
                <w:highlight w:val="lightGray"/>
              </w:rPr>
              <w:t>and</w:t>
            </w:r>
          </w:p>
          <w:p w:rsidR="00A32127" w:rsidRDefault="00A32127">
            <w:pPr>
              <w:jc w:val="both"/>
            </w:pPr>
          </w:p>
          <w:p w:rsidR="00D67072" w:rsidRDefault="001358B7">
            <w:pPr>
              <w:jc w:val="both"/>
            </w:pPr>
            <w:r w:rsidRPr="00D04ADD">
              <w:rPr>
                <w:highlight w:val="lightGray"/>
                <w:u w:val="single"/>
              </w:rPr>
              <w:t>(7)</w:t>
            </w:r>
            <w:r>
              <w:t xml:space="preserve"> [</w:t>
            </w:r>
            <w:r>
              <w:rPr>
                <w:strike/>
              </w:rPr>
              <w:t>(4)</w:t>
            </w:r>
            <w:r>
              <w:t>]  Section 31.03.</w:t>
            </w:r>
          </w:p>
          <w:p w:rsidR="00A32127" w:rsidRDefault="001358B7">
            <w:pPr>
              <w:jc w:val="both"/>
            </w:pPr>
            <w:r>
              <w:t xml:space="preserve">(c)  </w:t>
            </w:r>
            <w:r w:rsidRPr="00A32127">
              <w:rPr>
                <w:highlight w:val="lightGray"/>
              </w:rPr>
              <w:t>[</w:t>
            </w:r>
            <w:r w:rsidRPr="00A32127">
              <w:rPr>
                <w:strike/>
                <w:highlight w:val="lightGray"/>
              </w:rPr>
              <w:t>If an offense listed under Subsection (b)(1) or (4) is punishable as a Class A misdemeanor, the minimum term of confinement for the offense is increased to 180 days.</w:t>
            </w:r>
            <w:r w:rsidRPr="00A32127">
              <w:rPr>
                <w:highlight w:val="lightGray"/>
              </w:rPr>
              <w:t>]</w:t>
            </w:r>
            <w:r>
              <w:t xml:space="preserve">  </w:t>
            </w:r>
          </w:p>
          <w:p w:rsidR="00A32127" w:rsidRDefault="00A32127">
            <w:pPr>
              <w:jc w:val="both"/>
            </w:pPr>
          </w:p>
          <w:p w:rsidR="00D67072" w:rsidRDefault="001358B7">
            <w:pPr>
              <w:jc w:val="both"/>
            </w:pPr>
            <w:r>
              <w:t xml:space="preserve">If an offense listed under Subsection </w:t>
            </w:r>
            <w:r>
              <w:rPr>
                <w:u w:val="single"/>
              </w:rPr>
              <w:t>(b)(2),</w:t>
            </w:r>
            <w:r>
              <w:t xml:space="preserve"> [</w:t>
            </w:r>
            <w:r>
              <w:rPr>
                <w:strike/>
              </w:rPr>
              <w:t>(b)(3) or</w:t>
            </w:r>
            <w:r>
              <w:t>] (4)</w:t>
            </w:r>
            <w:r>
              <w:rPr>
                <w:u w:val="single"/>
              </w:rPr>
              <w:t xml:space="preserve">, or </w:t>
            </w:r>
            <w:r w:rsidRPr="00A32127">
              <w:rPr>
                <w:highlight w:val="lightGray"/>
                <w:u w:val="single"/>
              </w:rPr>
              <w:t>(7)</w:t>
            </w:r>
            <w:r>
              <w:t xml:space="preserve"> is punishable as a felony of the first degree, the punishment for that offense may not be increased under this section.</w:t>
            </w:r>
          </w:p>
          <w:p w:rsidR="00A32127" w:rsidRDefault="00A32127">
            <w:pPr>
              <w:jc w:val="both"/>
            </w:pPr>
          </w:p>
          <w:p w:rsidR="00D67072" w:rsidRDefault="001358B7">
            <w:pPr>
              <w:jc w:val="both"/>
            </w:pPr>
            <w:r w:rsidRPr="00A32127">
              <w:rPr>
                <w:highlight w:val="lightGray"/>
              </w:rPr>
              <w:t xml:space="preserve">(d)  It is a defense to a charge under Subsection </w:t>
            </w:r>
            <w:r w:rsidRPr="00A32127">
              <w:rPr>
                <w:highlight w:val="lightGray"/>
                <w:u w:val="single"/>
              </w:rPr>
              <w:t>(b)(7)</w:t>
            </w:r>
            <w:r w:rsidRPr="00A32127">
              <w:rPr>
                <w:highlight w:val="lightGray"/>
              </w:rPr>
              <w:t xml:space="preserve"> [</w:t>
            </w:r>
            <w:r w:rsidRPr="00A32127">
              <w:rPr>
                <w:strike/>
                <w:highlight w:val="lightGray"/>
              </w:rPr>
              <w:t>(b)(4)</w:t>
            </w:r>
            <w:r w:rsidRPr="00A32127">
              <w:rPr>
                <w:highlight w:val="lightGray"/>
              </w:rPr>
              <w:t>] that the conduct in question meets the elements of necessity outlined in Section 9.22.</w:t>
            </w:r>
          </w:p>
          <w:p w:rsidR="00D67072" w:rsidRDefault="00D67072">
            <w:pPr>
              <w:jc w:val="both"/>
            </w:pPr>
          </w:p>
        </w:tc>
        <w:tc>
          <w:tcPr>
            <w:tcW w:w="6248" w:type="dxa"/>
          </w:tcPr>
          <w:p w:rsidR="00D67072" w:rsidRDefault="001358B7">
            <w:pPr>
              <w:jc w:val="both"/>
            </w:pPr>
            <w:r>
              <w:t>SECTION 1.  Sections 12.50(b) and (c), Penal Code, are amended to read as follows:</w:t>
            </w:r>
          </w:p>
          <w:p w:rsidR="00D67072" w:rsidRDefault="001358B7">
            <w:pPr>
              <w:jc w:val="both"/>
            </w:pPr>
            <w:r>
              <w:t>(b)  The increase in punishment authorized by this section applies only to an offense under:</w:t>
            </w:r>
          </w:p>
          <w:p w:rsidR="00D67072" w:rsidRDefault="001358B7">
            <w:pPr>
              <w:jc w:val="both"/>
            </w:pPr>
            <w:r>
              <w:t>(1)  Section 22.01;</w:t>
            </w:r>
          </w:p>
          <w:p w:rsidR="00D67072" w:rsidRDefault="001358B7">
            <w:pPr>
              <w:jc w:val="both"/>
            </w:pPr>
            <w:r>
              <w:t xml:space="preserve">(2)  </w:t>
            </w:r>
            <w:r>
              <w:rPr>
                <w:u w:val="single"/>
              </w:rPr>
              <w:t>Section 28.02;</w:t>
            </w:r>
          </w:p>
          <w:p w:rsidR="00D67072" w:rsidRDefault="001358B7">
            <w:pPr>
              <w:jc w:val="both"/>
            </w:pPr>
            <w:r>
              <w:rPr>
                <w:u w:val="single"/>
              </w:rPr>
              <w:t>(3)</w:t>
            </w:r>
            <w:r>
              <w:t xml:space="preserve">  Section 29.02;</w:t>
            </w:r>
          </w:p>
          <w:p w:rsidR="00D67072" w:rsidRDefault="001358B7">
            <w:pPr>
              <w:jc w:val="both"/>
            </w:pPr>
            <w:r>
              <w:rPr>
                <w:u w:val="single"/>
              </w:rPr>
              <w:t>(4)</w:t>
            </w:r>
            <w:r>
              <w:t xml:space="preserve"> [</w:t>
            </w:r>
            <w:r>
              <w:rPr>
                <w:strike/>
              </w:rPr>
              <w:t>(3)</w:t>
            </w:r>
            <w:r>
              <w:t>]  Section 30.02;</w:t>
            </w:r>
          </w:p>
          <w:p w:rsidR="00D67072" w:rsidRDefault="001358B7">
            <w:pPr>
              <w:jc w:val="both"/>
            </w:pPr>
            <w:r>
              <w:rPr>
                <w:u w:val="single"/>
              </w:rPr>
              <w:t>(5)  Section 30.03;</w:t>
            </w:r>
          </w:p>
          <w:p w:rsidR="00D67072" w:rsidRDefault="001358B7">
            <w:pPr>
              <w:jc w:val="both"/>
            </w:pPr>
            <w:r>
              <w:rPr>
                <w:u w:val="single"/>
              </w:rPr>
              <w:t>(6)  Section 30.04;</w:t>
            </w:r>
          </w:p>
          <w:p w:rsidR="00D67072" w:rsidRDefault="001358B7">
            <w:pPr>
              <w:jc w:val="both"/>
            </w:pPr>
            <w:r w:rsidRPr="00A32127">
              <w:rPr>
                <w:highlight w:val="lightGray"/>
                <w:u w:val="single"/>
              </w:rPr>
              <w:t>(7)  Section 30.05</w:t>
            </w:r>
            <w:r w:rsidRPr="000C5E78">
              <w:rPr>
                <w:highlight w:val="lightGray"/>
                <w:u w:val="single"/>
              </w:rPr>
              <w:t>;</w:t>
            </w:r>
            <w:r w:rsidRPr="000C5E78">
              <w:rPr>
                <w:highlight w:val="lightGray"/>
              </w:rPr>
              <w:t xml:space="preserve"> and</w:t>
            </w:r>
          </w:p>
          <w:p w:rsidR="00D67072" w:rsidRDefault="001358B7">
            <w:pPr>
              <w:jc w:val="both"/>
            </w:pPr>
            <w:r w:rsidRPr="00D04ADD">
              <w:rPr>
                <w:highlight w:val="lightGray"/>
                <w:u w:val="single"/>
              </w:rPr>
              <w:t>(8)</w:t>
            </w:r>
            <w:r>
              <w:t xml:space="preserve"> [</w:t>
            </w:r>
            <w:r>
              <w:rPr>
                <w:strike/>
              </w:rPr>
              <w:t>(4)</w:t>
            </w:r>
            <w:r>
              <w:t>]  Section 31.03.</w:t>
            </w:r>
          </w:p>
          <w:p w:rsidR="00A32127" w:rsidRDefault="001358B7">
            <w:pPr>
              <w:jc w:val="both"/>
            </w:pPr>
            <w:r>
              <w:t xml:space="preserve">(c)  </w:t>
            </w:r>
            <w:r w:rsidRPr="00A32127">
              <w:rPr>
                <w:highlight w:val="lightGray"/>
              </w:rPr>
              <w:t>If an offense listed under Subsection (b)(1)</w:t>
            </w:r>
            <w:r w:rsidRPr="00A32127">
              <w:rPr>
                <w:highlight w:val="lightGray"/>
                <w:u w:val="single"/>
              </w:rPr>
              <w:t>, (5), (6), (7),</w:t>
            </w:r>
            <w:r w:rsidRPr="00A32127">
              <w:rPr>
                <w:highlight w:val="lightGray"/>
              </w:rPr>
              <w:t xml:space="preserve"> or </w:t>
            </w:r>
            <w:r w:rsidRPr="00A32127">
              <w:rPr>
                <w:highlight w:val="lightGray"/>
                <w:u w:val="single"/>
              </w:rPr>
              <w:t>(8)</w:t>
            </w:r>
            <w:r w:rsidRPr="00A32127">
              <w:rPr>
                <w:highlight w:val="lightGray"/>
              </w:rPr>
              <w:t xml:space="preserve"> [</w:t>
            </w:r>
            <w:r w:rsidRPr="00A32127">
              <w:rPr>
                <w:strike/>
                <w:highlight w:val="lightGray"/>
              </w:rPr>
              <w:t>(4)</w:t>
            </w:r>
            <w:r w:rsidRPr="00A32127">
              <w:rPr>
                <w:highlight w:val="lightGray"/>
              </w:rPr>
              <w:t>] is punishable as a Class A misdemeanor, the minimum term of confinement for the offense is increased to 180 days.</w:t>
            </w:r>
            <w:r>
              <w:t xml:space="preserve"> </w:t>
            </w:r>
          </w:p>
          <w:p w:rsidR="00D67072" w:rsidRDefault="001358B7">
            <w:pPr>
              <w:jc w:val="both"/>
            </w:pPr>
            <w:r>
              <w:t xml:space="preserve">If an offense listed under Subsection </w:t>
            </w:r>
            <w:r>
              <w:rPr>
                <w:u w:val="single"/>
              </w:rPr>
              <w:t>(b)(2),</w:t>
            </w:r>
            <w:r>
              <w:t xml:space="preserve"> [</w:t>
            </w:r>
            <w:r>
              <w:rPr>
                <w:strike/>
              </w:rPr>
              <w:t>(b)(3) or</w:t>
            </w:r>
            <w:r>
              <w:t>] (4)</w:t>
            </w:r>
            <w:r>
              <w:rPr>
                <w:u w:val="single"/>
              </w:rPr>
              <w:t xml:space="preserve">, or </w:t>
            </w:r>
            <w:r w:rsidRPr="00A32127">
              <w:rPr>
                <w:highlight w:val="lightGray"/>
                <w:u w:val="single"/>
              </w:rPr>
              <w:t>(8)</w:t>
            </w:r>
            <w:r>
              <w:t xml:space="preserve"> is punishable as a felony of the first degree, the punishment for that offense may not be increased under this section.</w:t>
            </w:r>
          </w:p>
          <w:p w:rsidR="00D67072" w:rsidRDefault="00D67072">
            <w:pPr>
              <w:jc w:val="both"/>
            </w:pPr>
          </w:p>
          <w:p w:rsidR="00D04ADD" w:rsidRPr="00D04ADD" w:rsidRDefault="00D04ADD" w:rsidP="00D04ADD">
            <w:pPr>
              <w:jc w:val="both"/>
              <w:rPr>
                <w:i/>
              </w:rPr>
            </w:pPr>
            <w:r w:rsidRPr="00D04ADD">
              <w:rPr>
                <w:i/>
              </w:rPr>
              <w:t>(But see SECTION 2 below.)</w:t>
            </w:r>
          </w:p>
        </w:tc>
        <w:tc>
          <w:tcPr>
            <w:tcW w:w="6244" w:type="dxa"/>
          </w:tcPr>
          <w:p w:rsidR="00D67072" w:rsidRDefault="00D67072">
            <w:pPr>
              <w:jc w:val="both"/>
            </w:pPr>
          </w:p>
        </w:tc>
      </w:tr>
      <w:tr w:rsidR="00D67072" w:rsidTr="00A32127">
        <w:tc>
          <w:tcPr>
            <w:tcW w:w="6248" w:type="dxa"/>
          </w:tcPr>
          <w:p w:rsidR="00D67072" w:rsidRDefault="001358B7">
            <w:pPr>
              <w:jc w:val="both"/>
            </w:pPr>
            <w:r w:rsidRPr="00A32127">
              <w:rPr>
                <w:highlight w:val="lightGray"/>
              </w:rPr>
              <w:t>No equivalent provision.</w:t>
            </w:r>
            <w:r w:rsidR="00D04ADD">
              <w:t xml:space="preserve"> </w:t>
            </w:r>
            <w:r w:rsidR="00D04ADD" w:rsidRPr="00D04ADD">
              <w:rPr>
                <w:i/>
              </w:rPr>
              <w:t>(But see SECTION 1 above.)</w:t>
            </w:r>
          </w:p>
          <w:p w:rsidR="00D67072" w:rsidRDefault="00D67072">
            <w:pPr>
              <w:jc w:val="both"/>
            </w:pPr>
          </w:p>
        </w:tc>
        <w:tc>
          <w:tcPr>
            <w:tcW w:w="6248" w:type="dxa"/>
          </w:tcPr>
          <w:p w:rsidR="00D67072" w:rsidRDefault="001358B7">
            <w:pPr>
              <w:jc w:val="both"/>
            </w:pPr>
            <w:r>
              <w:t>SECTION 2.  Section 12.50(d), Penal Code, is repealed.</w:t>
            </w:r>
          </w:p>
          <w:p w:rsidR="00D67072" w:rsidRDefault="00D67072">
            <w:pPr>
              <w:jc w:val="both"/>
            </w:pPr>
          </w:p>
        </w:tc>
        <w:tc>
          <w:tcPr>
            <w:tcW w:w="6244" w:type="dxa"/>
          </w:tcPr>
          <w:p w:rsidR="00D67072" w:rsidRDefault="00D67072">
            <w:pPr>
              <w:jc w:val="both"/>
            </w:pPr>
          </w:p>
        </w:tc>
      </w:tr>
      <w:tr w:rsidR="00D67072" w:rsidTr="00A32127">
        <w:tc>
          <w:tcPr>
            <w:tcW w:w="6248" w:type="dxa"/>
          </w:tcPr>
          <w:p w:rsidR="00D67072" w:rsidRDefault="00A32127">
            <w:pPr>
              <w:jc w:val="both"/>
            </w:pPr>
            <w:r>
              <w:t xml:space="preserve">SECTION 2.  The change in law made by this Act applies only to an offense committed on or after the effective date of this Act.  An offense committed before the effective date of </w:t>
            </w:r>
            <w:r>
              <w:lastRenderedPageBreak/>
              <w:t xml:space="preserve">this Act is governed by the law in effect </w:t>
            </w:r>
            <w:r w:rsidRPr="00A32127">
              <w:rPr>
                <w:highlight w:val="lightGray"/>
              </w:rPr>
              <w:t>on the date</w:t>
            </w:r>
            <w:r>
              <w:t xml:space="preserve"> the offense was committed, and the former law is continued in effect for that purpose.  For purposes of this section, an offense was committed before the effective date of this Act if any element of the offense </w:t>
            </w:r>
            <w:r w:rsidRPr="00A32127">
              <w:rPr>
                <w:highlight w:val="lightGray"/>
              </w:rPr>
              <w:t>was committed</w:t>
            </w:r>
            <w:r>
              <w:t xml:space="preserve"> before that date.</w:t>
            </w:r>
          </w:p>
          <w:p w:rsidR="00D67072" w:rsidRDefault="00D67072">
            <w:pPr>
              <w:jc w:val="both"/>
            </w:pPr>
          </w:p>
        </w:tc>
        <w:tc>
          <w:tcPr>
            <w:tcW w:w="6248" w:type="dxa"/>
          </w:tcPr>
          <w:p w:rsidR="00D67072" w:rsidRDefault="001358B7">
            <w:pPr>
              <w:jc w:val="both"/>
            </w:pPr>
            <w:r>
              <w:lastRenderedPageBreak/>
              <w:t xml:space="preserve">SECTION 3.  The change in law made by this Act applies only to an offense committed on or after the effective date of this Act.  An offense committed before the effective date of </w:t>
            </w:r>
            <w:r>
              <w:lastRenderedPageBreak/>
              <w:t xml:space="preserve">this Act is governed by the law in effect </w:t>
            </w:r>
            <w:r w:rsidRPr="00A32127">
              <w:rPr>
                <w:highlight w:val="lightGray"/>
              </w:rPr>
              <w:t>when</w:t>
            </w:r>
            <w:r>
              <w:t xml:space="preserve"> the offense was committed, and the former law is continued in effect for that purpose.  For purposes of this section, an offense was committed before the effective date of this Act if any element of the offense </w:t>
            </w:r>
            <w:r w:rsidRPr="00A32127">
              <w:rPr>
                <w:highlight w:val="lightGray"/>
              </w:rPr>
              <w:t>occurred</w:t>
            </w:r>
            <w:r>
              <w:t xml:space="preserve"> before that date.</w:t>
            </w:r>
          </w:p>
          <w:p w:rsidR="00D67072" w:rsidRDefault="00D67072">
            <w:pPr>
              <w:jc w:val="both"/>
            </w:pPr>
          </w:p>
        </w:tc>
        <w:tc>
          <w:tcPr>
            <w:tcW w:w="6244" w:type="dxa"/>
          </w:tcPr>
          <w:p w:rsidR="00D67072" w:rsidRDefault="00D67072">
            <w:pPr>
              <w:jc w:val="both"/>
            </w:pPr>
          </w:p>
        </w:tc>
      </w:tr>
      <w:tr w:rsidR="00D67072" w:rsidTr="00A32127">
        <w:tc>
          <w:tcPr>
            <w:tcW w:w="6248" w:type="dxa"/>
          </w:tcPr>
          <w:p w:rsidR="00D67072" w:rsidRDefault="001358B7">
            <w:pPr>
              <w:jc w:val="both"/>
            </w:pPr>
            <w:r>
              <w:t>SECTION 3.  This Act takes effect September 1, 2019.</w:t>
            </w:r>
          </w:p>
          <w:p w:rsidR="00D67072" w:rsidRDefault="00D67072">
            <w:pPr>
              <w:jc w:val="both"/>
            </w:pPr>
          </w:p>
        </w:tc>
        <w:tc>
          <w:tcPr>
            <w:tcW w:w="6248" w:type="dxa"/>
          </w:tcPr>
          <w:p w:rsidR="00D67072" w:rsidRDefault="001358B7">
            <w:pPr>
              <w:jc w:val="both"/>
            </w:pPr>
            <w:r>
              <w:t>SECTION 4. Same as House version.</w:t>
            </w:r>
          </w:p>
          <w:p w:rsidR="00D67072" w:rsidRDefault="00D67072">
            <w:pPr>
              <w:jc w:val="both"/>
            </w:pPr>
          </w:p>
          <w:p w:rsidR="00D67072" w:rsidRDefault="00D67072">
            <w:pPr>
              <w:jc w:val="both"/>
            </w:pPr>
          </w:p>
        </w:tc>
        <w:tc>
          <w:tcPr>
            <w:tcW w:w="6244" w:type="dxa"/>
          </w:tcPr>
          <w:p w:rsidR="00D67072" w:rsidRDefault="00D67072">
            <w:pPr>
              <w:jc w:val="both"/>
            </w:pPr>
          </w:p>
        </w:tc>
      </w:tr>
    </w:tbl>
    <w:p w:rsidR="00AD578D" w:rsidRDefault="00AD578D"/>
    <w:sectPr w:rsidR="00AD578D" w:rsidSect="00D67072">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072" w:rsidRDefault="00D67072" w:rsidP="00D67072">
      <w:r>
        <w:separator/>
      </w:r>
    </w:p>
  </w:endnote>
  <w:endnote w:type="continuationSeparator" w:id="0">
    <w:p w:rsidR="00D67072" w:rsidRDefault="00D67072" w:rsidP="00D6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AB" w:rsidRDefault="00676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072" w:rsidRDefault="00E21E84">
    <w:pPr>
      <w:tabs>
        <w:tab w:val="center" w:pos="9360"/>
        <w:tab w:val="right" w:pos="18720"/>
      </w:tabs>
    </w:pPr>
    <w:r>
      <w:fldChar w:fldCharType="begin"/>
    </w:r>
    <w:r>
      <w:instrText xml:space="preserve"> DOCPROPERTY  CCRF  \* MERGEFORMAT </w:instrText>
    </w:r>
    <w:r>
      <w:fldChar w:fldCharType="separate"/>
    </w:r>
    <w:r w:rsidR="002C036C">
      <w:t xml:space="preserve"> </w:t>
    </w:r>
    <w:r>
      <w:fldChar w:fldCharType="end"/>
    </w:r>
    <w:r w:rsidR="001358B7">
      <w:tab/>
    </w:r>
    <w:r w:rsidR="00D67072">
      <w:fldChar w:fldCharType="begin"/>
    </w:r>
    <w:r w:rsidR="001358B7">
      <w:instrText xml:space="preserve"> PAGE </w:instrText>
    </w:r>
    <w:r w:rsidR="00D67072">
      <w:fldChar w:fldCharType="separate"/>
    </w:r>
    <w:r>
      <w:rPr>
        <w:noProof/>
      </w:rPr>
      <w:t>2</w:t>
    </w:r>
    <w:r w:rsidR="00D67072">
      <w:fldChar w:fldCharType="end"/>
    </w:r>
    <w:r w:rsidR="001358B7">
      <w:tab/>
    </w:r>
    <w:r w:rsidR="00EF34E1">
      <w:fldChar w:fldCharType="begin"/>
    </w:r>
    <w:r w:rsidR="00EF34E1">
      <w:instrText xml:space="preserve"> DOCPROPERTY  OTID  \* MERGEFORMAT </w:instrText>
    </w:r>
    <w:r w:rsidR="00EF34E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AB" w:rsidRDefault="00676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072" w:rsidRDefault="00D67072" w:rsidP="00D67072">
      <w:r>
        <w:separator/>
      </w:r>
    </w:p>
  </w:footnote>
  <w:footnote w:type="continuationSeparator" w:id="0">
    <w:p w:rsidR="00D67072" w:rsidRDefault="00D67072" w:rsidP="00D67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AB" w:rsidRDefault="00676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AB" w:rsidRDefault="00676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AB" w:rsidRDefault="00676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72"/>
    <w:rsid w:val="00010CF6"/>
    <w:rsid w:val="000C5E78"/>
    <w:rsid w:val="001358B7"/>
    <w:rsid w:val="001D4046"/>
    <w:rsid w:val="002C036C"/>
    <w:rsid w:val="00676CAB"/>
    <w:rsid w:val="00A32127"/>
    <w:rsid w:val="00AD578D"/>
    <w:rsid w:val="00D04ADD"/>
    <w:rsid w:val="00D67072"/>
    <w:rsid w:val="00DC7A25"/>
    <w:rsid w:val="00E21E84"/>
    <w:rsid w:val="00EF34E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2CD374-77B4-40CB-99D6-4A88F8627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07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CAB"/>
    <w:pPr>
      <w:tabs>
        <w:tab w:val="center" w:pos="4680"/>
        <w:tab w:val="right" w:pos="9360"/>
      </w:tabs>
    </w:pPr>
  </w:style>
  <w:style w:type="character" w:customStyle="1" w:styleId="HeaderChar">
    <w:name w:val="Header Char"/>
    <w:basedOn w:val="DefaultParagraphFont"/>
    <w:link w:val="Header"/>
    <w:uiPriority w:val="99"/>
    <w:rsid w:val="00676CAB"/>
    <w:rPr>
      <w:sz w:val="22"/>
    </w:rPr>
  </w:style>
  <w:style w:type="paragraph" w:styleId="Footer">
    <w:name w:val="footer"/>
    <w:basedOn w:val="Normal"/>
    <w:link w:val="FooterChar"/>
    <w:uiPriority w:val="99"/>
    <w:unhideWhenUsed/>
    <w:rsid w:val="00676CAB"/>
    <w:pPr>
      <w:tabs>
        <w:tab w:val="center" w:pos="4680"/>
        <w:tab w:val="right" w:pos="9360"/>
      </w:tabs>
    </w:pPr>
  </w:style>
  <w:style w:type="character" w:customStyle="1" w:styleId="FooterChar">
    <w:name w:val="Footer Char"/>
    <w:basedOn w:val="DefaultParagraphFont"/>
    <w:link w:val="Footer"/>
    <w:uiPriority w:val="99"/>
    <w:rsid w:val="00676C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HB1028-SAA</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HB1028-SAA</dc:title>
  <dc:subject/>
  <dc:creator>Hanna Brumbelow</dc:creator>
  <cp:keywords/>
  <dc:description/>
  <cp:lastModifiedBy>Hanna Brumbelow</cp:lastModifiedBy>
  <cp:revision>2</cp:revision>
  <dcterms:created xsi:type="dcterms:W3CDTF">2019-05-21T16:24:00Z</dcterms:created>
  <dcterms:modified xsi:type="dcterms:W3CDTF">2019-05-21T16:24:00Z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