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D2A0F" w:rsidTr="002D2A0F">
        <w:trPr>
          <w:cantSplit/>
          <w:tblHeader/>
        </w:trPr>
        <w:tc>
          <w:tcPr>
            <w:tcW w:w="18713" w:type="dxa"/>
            <w:gridSpan w:val="3"/>
          </w:tcPr>
          <w:p w:rsidR="001074F8" w:rsidRDefault="00842CC7">
            <w:pPr>
              <w:ind w:left="650"/>
              <w:jc w:val="center"/>
            </w:pPr>
            <w:bookmarkStart w:id="0" w:name="_GoBack"/>
            <w:bookmarkEnd w:id="0"/>
            <w:r>
              <w:rPr>
                <w:b/>
              </w:rPr>
              <w:t>House Bill  1177</w:t>
            </w:r>
          </w:p>
          <w:p w:rsidR="001074F8" w:rsidRDefault="00842CC7">
            <w:pPr>
              <w:ind w:left="650"/>
              <w:jc w:val="center"/>
            </w:pPr>
            <w:r>
              <w:t>Senate Amendments</w:t>
            </w:r>
          </w:p>
          <w:p w:rsidR="001074F8" w:rsidRDefault="00842CC7">
            <w:pPr>
              <w:ind w:left="650"/>
              <w:jc w:val="center"/>
            </w:pPr>
            <w:r>
              <w:t>Section-by-Section Analysis</w:t>
            </w:r>
          </w:p>
          <w:p w:rsidR="001074F8" w:rsidRDefault="001074F8">
            <w:pPr>
              <w:jc w:val="center"/>
            </w:pPr>
          </w:p>
        </w:tc>
      </w:tr>
      <w:tr w:rsidR="001074F8">
        <w:trPr>
          <w:cantSplit/>
          <w:tblHeader/>
        </w:trPr>
        <w:tc>
          <w:tcPr>
            <w:tcW w:w="1667" w:type="pct"/>
            <w:tcMar>
              <w:bottom w:w="188" w:type="dxa"/>
              <w:right w:w="0" w:type="dxa"/>
            </w:tcMar>
          </w:tcPr>
          <w:p w:rsidR="001074F8" w:rsidRDefault="00842CC7">
            <w:pPr>
              <w:jc w:val="center"/>
            </w:pPr>
            <w:r>
              <w:t>HOUSE VERSION</w:t>
            </w:r>
          </w:p>
        </w:tc>
        <w:tc>
          <w:tcPr>
            <w:tcW w:w="1667" w:type="pct"/>
            <w:tcMar>
              <w:bottom w:w="188" w:type="dxa"/>
              <w:right w:w="0" w:type="dxa"/>
            </w:tcMar>
          </w:tcPr>
          <w:p w:rsidR="001074F8" w:rsidRDefault="00842CC7">
            <w:pPr>
              <w:jc w:val="center"/>
            </w:pPr>
            <w:r>
              <w:t>SENATE VERSION (CS)</w:t>
            </w:r>
          </w:p>
        </w:tc>
        <w:tc>
          <w:tcPr>
            <w:tcW w:w="1667" w:type="pct"/>
            <w:tcMar>
              <w:bottom w:w="188" w:type="dxa"/>
              <w:right w:w="0" w:type="dxa"/>
            </w:tcMar>
          </w:tcPr>
          <w:p w:rsidR="001074F8" w:rsidRDefault="00842CC7">
            <w:pPr>
              <w:jc w:val="center"/>
            </w:pPr>
            <w:r>
              <w:t>CONFERENCE</w:t>
            </w:r>
          </w:p>
        </w:tc>
      </w:tr>
      <w:tr w:rsidR="001074F8">
        <w:tc>
          <w:tcPr>
            <w:tcW w:w="6473" w:type="dxa"/>
          </w:tcPr>
          <w:p w:rsidR="001074F8" w:rsidRDefault="00842CC7">
            <w:pPr>
              <w:jc w:val="both"/>
            </w:pPr>
            <w:r>
              <w:t>SECTION 1.  Section 46.15, Penal Code, is amended by adding Subsections (k) and (l) to read as follows:</w:t>
            </w:r>
          </w:p>
          <w:p w:rsidR="001074F8" w:rsidRDefault="00842CC7">
            <w:pPr>
              <w:jc w:val="both"/>
              <w:rPr>
                <w:u w:val="single"/>
              </w:rPr>
            </w:pPr>
            <w:r>
              <w:rPr>
                <w:u w:val="single"/>
              </w:rPr>
              <w:t>(k)  Section 46.02 does not apply to a person who carries a handgun if:</w:t>
            </w:r>
          </w:p>
          <w:p w:rsidR="002D2A0F" w:rsidRDefault="002D2A0F">
            <w:pPr>
              <w:jc w:val="both"/>
            </w:pPr>
          </w:p>
          <w:p w:rsidR="001074F8" w:rsidRDefault="00842CC7">
            <w:pPr>
              <w:jc w:val="both"/>
            </w:pPr>
            <w:r>
              <w:rPr>
                <w:u w:val="single"/>
              </w:rPr>
              <w:t xml:space="preserve">(1)  the person carries the handgun </w:t>
            </w:r>
            <w:r w:rsidRPr="002D2A0F">
              <w:rPr>
                <w:u w:val="single"/>
              </w:rPr>
              <w:t>while:</w:t>
            </w:r>
          </w:p>
          <w:p w:rsidR="001074F8" w:rsidRDefault="00842CC7">
            <w:pPr>
              <w:jc w:val="both"/>
              <w:rPr>
                <w:u w:val="single"/>
              </w:rPr>
            </w:pPr>
            <w:r>
              <w:rPr>
                <w:u w:val="single"/>
              </w:rPr>
              <w:t xml:space="preserve">(A)  evacuating from an area following </w:t>
            </w:r>
            <w:r w:rsidRPr="002D2A0F">
              <w:rPr>
                <w:highlight w:val="lightGray"/>
                <w:u w:val="single"/>
              </w:rPr>
              <w:t>the declaration of</w:t>
            </w:r>
            <w:r>
              <w:rPr>
                <w:u w:val="single"/>
              </w:rPr>
              <w:t xml:space="preserve"> a state of disaster under Section 418.014, Government Code, or a local state of disaster under Section 418.108, Government Code, with respect to that area; or</w:t>
            </w:r>
          </w:p>
          <w:p w:rsidR="002D2A0F" w:rsidRDefault="002D2A0F">
            <w:pPr>
              <w:jc w:val="both"/>
            </w:pPr>
          </w:p>
          <w:p w:rsidR="001074F8" w:rsidRDefault="00842CC7">
            <w:pPr>
              <w:jc w:val="both"/>
            </w:pPr>
            <w:r>
              <w:rPr>
                <w:u w:val="single"/>
              </w:rPr>
              <w:t>(B)  reentering that area following the person's evacuation;</w:t>
            </w:r>
          </w:p>
          <w:p w:rsidR="001074F8" w:rsidRDefault="00842CC7">
            <w:pPr>
              <w:jc w:val="both"/>
            </w:pPr>
            <w:r>
              <w:rPr>
                <w:u w:val="single"/>
              </w:rPr>
              <w:t xml:space="preserve">(2)  not more than </w:t>
            </w:r>
            <w:r w:rsidRPr="002D2A0F">
              <w:rPr>
                <w:highlight w:val="lightGray"/>
                <w:u w:val="single"/>
              </w:rPr>
              <w:t>168 hours</w:t>
            </w:r>
            <w:r>
              <w:rPr>
                <w:u w:val="single"/>
              </w:rPr>
              <w:t xml:space="preserve"> have elapsed since </w:t>
            </w:r>
            <w:r w:rsidRPr="002D4A35">
              <w:rPr>
                <w:highlight w:val="lightGray"/>
                <w:u w:val="single"/>
              </w:rPr>
              <w:t xml:space="preserve">the state </w:t>
            </w:r>
            <w:r w:rsidRPr="002D2A0F">
              <w:rPr>
                <w:highlight w:val="lightGray"/>
                <w:u w:val="single"/>
              </w:rPr>
              <w:t>of disaster or local state of disaster was declared</w:t>
            </w:r>
            <w:r>
              <w:rPr>
                <w:u w:val="single"/>
              </w:rPr>
              <w:t xml:space="preserve">, or more than </w:t>
            </w:r>
            <w:r w:rsidRPr="002D2A0F">
              <w:rPr>
                <w:highlight w:val="lightGray"/>
                <w:u w:val="single"/>
              </w:rPr>
              <w:t>168 hours</w:t>
            </w:r>
            <w:r>
              <w:rPr>
                <w:u w:val="single"/>
              </w:rPr>
              <w:t xml:space="preserve"> have elapsed since </w:t>
            </w:r>
            <w:r w:rsidRPr="002D2A0F">
              <w:rPr>
                <w:highlight w:val="lightGray"/>
                <w:u w:val="single"/>
              </w:rPr>
              <w:t>the time the declaration was made</w:t>
            </w:r>
            <w:r>
              <w:rPr>
                <w:u w:val="single"/>
              </w:rPr>
              <w:t xml:space="preserve"> and the governor has extended the period during which a person may carry a handgun </w:t>
            </w:r>
            <w:r w:rsidRPr="002D2A0F">
              <w:rPr>
                <w:highlight w:val="lightGray"/>
                <w:u w:val="single"/>
              </w:rPr>
              <w:t>under this subsection</w:t>
            </w:r>
            <w:r>
              <w:rPr>
                <w:u w:val="single"/>
              </w:rPr>
              <w:t>; and</w:t>
            </w:r>
          </w:p>
          <w:p w:rsidR="001074F8" w:rsidRDefault="00842CC7">
            <w:pPr>
              <w:jc w:val="both"/>
            </w:pPr>
            <w:r>
              <w:rPr>
                <w:u w:val="single"/>
              </w:rPr>
              <w:t>(3)  the person is not prohibited by state or federal law from possessing a firearm.</w:t>
            </w:r>
          </w:p>
          <w:p w:rsidR="0004384F" w:rsidRDefault="0004384F">
            <w:pPr>
              <w:jc w:val="both"/>
              <w:rPr>
                <w:highlight w:val="lightGray"/>
                <w:u w:val="single"/>
              </w:rPr>
            </w:pPr>
          </w:p>
          <w:p w:rsidR="0004384F" w:rsidRDefault="0004384F">
            <w:pPr>
              <w:jc w:val="both"/>
              <w:rPr>
                <w:highlight w:val="lightGray"/>
                <w:u w:val="single"/>
              </w:rPr>
            </w:pPr>
          </w:p>
          <w:p w:rsidR="0004384F" w:rsidRDefault="0004384F">
            <w:pPr>
              <w:jc w:val="both"/>
              <w:rPr>
                <w:highlight w:val="lightGray"/>
                <w:u w:val="single"/>
              </w:rPr>
            </w:pPr>
          </w:p>
          <w:p w:rsidR="001074F8" w:rsidRPr="002D2A0F" w:rsidRDefault="00842CC7">
            <w:pPr>
              <w:jc w:val="both"/>
              <w:rPr>
                <w:highlight w:val="lightGray"/>
              </w:rPr>
            </w:pPr>
            <w:r w:rsidRPr="002D2A0F">
              <w:rPr>
                <w:highlight w:val="lightGray"/>
                <w:u w:val="single"/>
              </w:rPr>
              <w:t>(l)  Sections 46.02, 46.03(a)(1), (a)(2), (a)(3), and (a)(4), and 46.035(a), (a-1), (a-2), (a-3), (b)(1), (b)(5), and (b)(6) do not apply to a person who carries a handgun if:</w:t>
            </w:r>
          </w:p>
          <w:p w:rsidR="001074F8" w:rsidRPr="002D2A0F" w:rsidRDefault="00842CC7">
            <w:pPr>
              <w:jc w:val="both"/>
              <w:rPr>
                <w:highlight w:val="lightGray"/>
              </w:rPr>
            </w:pPr>
            <w:r w:rsidRPr="002D2A0F">
              <w:rPr>
                <w:highlight w:val="lightGray"/>
                <w:u w:val="single"/>
              </w:rPr>
              <w:t>(1)  the person carries the handgun on the premises, as defined by the statute providing the applicable offense, of a location operating as an emergency shelter during a state of disaster declared under Section 418.014, Government Code, or a local state of disaster declared under Section 418.108, Government Code;</w:t>
            </w:r>
          </w:p>
          <w:p w:rsidR="001074F8" w:rsidRPr="002D2A0F" w:rsidRDefault="00842CC7">
            <w:pPr>
              <w:jc w:val="both"/>
              <w:rPr>
                <w:highlight w:val="lightGray"/>
              </w:rPr>
            </w:pPr>
            <w:r w:rsidRPr="002D2A0F">
              <w:rPr>
                <w:highlight w:val="lightGray"/>
                <w:u w:val="single"/>
              </w:rPr>
              <w:lastRenderedPageBreak/>
              <w:t>(2)  the owner, controller, or operator of the premises or a person acting with the apparent authority of the owner, controller, or operator, authorized the carrying of the handgun;</w:t>
            </w:r>
          </w:p>
          <w:p w:rsidR="001074F8" w:rsidRPr="002D2A0F" w:rsidRDefault="00842CC7">
            <w:pPr>
              <w:jc w:val="both"/>
              <w:rPr>
                <w:highlight w:val="lightGray"/>
              </w:rPr>
            </w:pPr>
            <w:r w:rsidRPr="002D2A0F">
              <w:rPr>
                <w:highlight w:val="lightGray"/>
                <w:u w:val="single"/>
              </w:rPr>
              <w:t>(3)  the person carrying the handgun complies with any rules and regulations of the owner, controller, or operator of the premises that govern the carrying of a handgun on the premises; and</w:t>
            </w:r>
          </w:p>
          <w:p w:rsidR="001074F8" w:rsidRDefault="00842CC7">
            <w:pPr>
              <w:jc w:val="both"/>
            </w:pPr>
            <w:r w:rsidRPr="002D2A0F">
              <w:rPr>
                <w:highlight w:val="lightGray"/>
                <w:u w:val="single"/>
              </w:rPr>
              <w:t>(4)  the person is not prohibited by state or federal law from possessing a firearm.</w:t>
            </w:r>
          </w:p>
          <w:p w:rsidR="001074F8" w:rsidRDefault="001074F8">
            <w:pPr>
              <w:jc w:val="both"/>
            </w:pPr>
          </w:p>
        </w:tc>
        <w:tc>
          <w:tcPr>
            <w:tcW w:w="6480" w:type="dxa"/>
          </w:tcPr>
          <w:p w:rsidR="001074F8" w:rsidRDefault="00842CC7">
            <w:pPr>
              <w:jc w:val="both"/>
            </w:pPr>
            <w:r>
              <w:lastRenderedPageBreak/>
              <w:t>SECTION 1.  Section 46.15, Penal Code, is amended by adding Subsections (k) and (l) to read as follows:</w:t>
            </w:r>
          </w:p>
          <w:p w:rsidR="001074F8" w:rsidRDefault="00842CC7">
            <w:pPr>
              <w:jc w:val="both"/>
            </w:pPr>
            <w:r>
              <w:rPr>
                <w:u w:val="single"/>
              </w:rPr>
              <w:t>(k)  Section 46.02 does not apply to a person who carries a handgun if:</w:t>
            </w:r>
          </w:p>
          <w:p w:rsidR="001074F8" w:rsidRDefault="00842CC7">
            <w:pPr>
              <w:jc w:val="both"/>
            </w:pPr>
            <w:r w:rsidRPr="0004384F">
              <w:rPr>
                <w:highlight w:val="lightGray"/>
                <w:u w:val="single"/>
              </w:rPr>
              <w:t xml:space="preserve">(1)  the person carries the handgun in a </w:t>
            </w:r>
            <w:r w:rsidRPr="002D2A0F">
              <w:rPr>
                <w:highlight w:val="lightGray"/>
                <w:u w:val="single"/>
              </w:rPr>
              <w:t>concealed manner;</w:t>
            </w:r>
          </w:p>
          <w:p w:rsidR="001074F8" w:rsidRDefault="00842CC7">
            <w:pPr>
              <w:jc w:val="both"/>
            </w:pPr>
            <w:r>
              <w:rPr>
                <w:u w:val="single"/>
              </w:rPr>
              <w:t>(2)  the person carries the handgun while:</w:t>
            </w:r>
          </w:p>
          <w:p w:rsidR="001074F8" w:rsidRDefault="00842CC7">
            <w:pPr>
              <w:jc w:val="both"/>
            </w:pPr>
            <w:r>
              <w:rPr>
                <w:u w:val="single"/>
              </w:rPr>
              <w:t xml:space="preserve">(A)  evacuating from an area following </w:t>
            </w:r>
            <w:r w:rsidRPr="002D2A0F">
              <w:rPr>
                <w:highlight w:val="lightGray"/>
                <w:u w:val="single"/>
              </w:rPr>
              <w:t>a mandatory evacuation order issued during</w:t>
            </w:r>
            <w:r>
              <w:rPr>
                <w:u w:val="single"/>
              </w:rPr>
              <w:t xml:space="preserve"> a state of disaster </w:t>
            </w:r>
            <w:r w:rsidRPr="002D2A0F">
              <w:rPr>
                <w:highlight w:val="lightGray"/>
                <w:u w:val="single"/>
              </w:rPr>
              <w:t>declared</w:t>
            </w:r>
            <w:r>
              <w:rPr>
                <w:u w:val="single"/>
              </w:rPr>
              <w:t xml:space="preserve"> under Section 418.014, Government Code, or a local state of disaster </w:t>
            </w:r>
            <w:r w:rsidRPr="002D2A0F">
              <w:rPr>
                <w:highlight w:val="lightGray"/>
                <w:u w:val="single"/>
              </w:rPr>
              <w:t>declared</w:t>
            </w:r>
            <w:r>
              <w:rPr>
                <w:u w:val="single"/>
              </w:rPr>
              <w:t xml:space="preserve"> under Section 418.108, Government Code, with respect to that area; or</w:t>
            </w:r>
          </w:p>
          <w:p w:rsidR="001074F8" w:rsidRDefault="00842CC7">
            <w:pPr>
              <w:jc w:val="both"/>
            </w:pPr>
            <w:r>
              <w:rPr>
                <w:u w:val="single"/>
              </w:rPr>
              <w:t>(B)  reentering that area following the person's evacuation;</w:t>
            </w:r>
          </w:p>
          <w:p w:rsidR="001074F8" w:rsidRDefault="00842CC7">
            <w:pPr>
              <w:jc w:val="both"/>
            </w:pPr>
            <w:r>
              <w:rPr>
                <w:u w:val="single"/>
              </w:rPr>
              <w:t xml:space="preserve">(3)  not more than </w:t>
            </w:r>
            <w:r w:rsidRPr="002D2A0F">
              <w:rPr>
                <w:highlight w:val="lightGray"/>
                <w:u w:val="single"/>
              </w:rPr>
              <w:t>48 hours</w:t>
            </w:r>
            <w:r>
              <w:rPr>
                <w:u w:val="single"/>
              </w:rPr>
              <w:t xml:space="preserve"> have elapsed since </w:t>
            </w:r>
            <w:r w:rsidRPr="002D4A35">
              <w:rPr>
                <w:highlight w:val="lightGray"/>
                <w:u w:val="single"/>
              </w:rPr>
              <w:t xml:space="preserve">the mandatory </w:t>
            </w:r>
            <w:r w:rsidRPr="002D2A0F">
              <w:rPr>
                <w:highlight w:val="lightGray"/>
                <w:u w:val="single"/>
              </w:rPr>
              <w:t>evacuation order was issued</w:t>
            </w:r>
            <w:r>
              <w:rPr>
                <w:u w:val="single"/>
              </w:rPr>
              <w:t xml:space="preserve">, or more than </w:t>
            </w:r>
            <w:r w:rsidRPr="002D2A0F">
              <w:rPr>
                <w:highlight w:val="lightGray"/>
                <w:u w:val="single"/>
              </w:rPr>
              <w:t>48 hours</w:t>
            </w:r>
            <w:r>
              <w:rPr>
                <w:u w:val="single"/>
              </w:rPr>
              <w:t xml:space="preserve"> have elapsed since </w:t>
            </w:r>
            <w:r w:rsidRPr="002D2A0F">
              <w:rPr>
                <w:highlight w:val="lightGray"/>
                <w:u w:val="single"/>
              </w:rPr>
              <w:t>the mandatory evacuation order was issued</w:t>
            </w:r>
            <w:r>
              <w:rPr>
                <w:u w:val="single"/>
              </w:rPr>
              <w:t xml:space="preserve"> and the governor has extended the period during which a person may carry a </w:t>
            </w:r>
            <w:r w:rsidRPr="002D2A0F">
              <w:rPr>
                <w:highlight w:val="lightGray"/>
                <w:u w:val="single"/>
              </w:rPr>
              <w:t>concealed</w:t>
            </w:r>
            <w:r>
              <w:rPr>
                <w:u w:val="single"/>
              </w:rPr>
              <w:t xml:space="preserve"> handgun; and</w:t>
            </w:r>
          </w:p>
          <w:p w:rsidR="001074F8" w:rsidRDefault="00842CC7">
            <w:pPr>
              <w:jc w:val="both"/>
              <w:rPr>
                <w:u w:val="single"/>
              </w:rPr>
            </w:pPr>
            <w:r>
              <w:rPr>
                <w:u w:val="single"/>
              </w:rPr>
              <w:t>(4)  the person is not prohibited by state or federal law from possessing a firearm.</w:t>
            </w:r>
          </w:p>
          <w:p w:rsidR="001074F8" w:rsidRDefault="00842CC7" w:rsidP="002D2A0F">
            <w:pPr>
              <w:jc w:val="both"/>
            </w:pPr>
            <w:r w:rsidRPr="002D2A0F">
              <w:rPr>
                <w:highlight w:val="lightGray"/>
                <w:u w:val="single"/>
              </w:rPr>
              <w:t>(l)  For purposes of Subsection (k), "evacuating" means the immediate and urgent movement of a person away from an area that is subject to an evacuation order.</w:t>
            </w:r>
          </w:p>
        </w:tc>
        <w:tc>
          <w:tcPr>
            <w:tcW w:w="5760" w:type="dxa"/>
          </w:tcPr>
          <w:p w:rsidR="001074F8" w:rsidRDefault="001074F8">
            <w:pPr>
              <w:jc w:val="both"/>
            </w:pPr>
          </w:p>
        </w:tc>
      </w:tr>
      <w:tr w:rsidR="001074F8">
        <w:tc>
          <w:tcPr>
            <w:tcW w:w="6473" w:type="dxa"/>
          </w:tcPr>
          <w:p w:rsidR="001074F8" w:rsidRDefault="00842CC7">
            <w:pPr>
              <w:jc w:val="both"/>
            </w:pPr>
            <w:r>
              <w:t>SECTION 2.  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1074F8" w:rsidRDefault="001074F8">
            <w:pPr>
              <w:jc w:val="both"/>
            </w:pPr>
          </w:p>
        </w:tc>
        <w:tc>
          <w:tcPr>
            <w:tcW w:w="6480" w:type="dxa"/>
          </w:tcPr>
          <w:p w:rsidR="001074F8" w:rsidRDefault="00842CC7">
            <w:pPr>
              <w:jc w:val="both"/>
            </w:pPr>
            <w:r>
              <w:t>SECTION 2. Same as House version.</w:t>
            </w:r>
          </w:p>
          <w:p w:rsidR="001074F8" w:rsidRDefault="001074F8">
            <w:pPr>
              <w:jc w:val="both"/>
            </w:pPr>
          </w:p>
          <w:p w:rsidR="001074F8" w:rsidRDefault="001074F8">
            <w:pPr>
              <w:jc w:val="both"/>
            </w:pPr>
          </w:p>
        </w:tc>
        <w:tc>
          <w:tcPr>
            <w:tcW w:w="5760" w:type="dxa"/>
          </w:tcPr>
          <w:p w:rsidR="001074F8" w:rsidRDefault="001074F8">
            <w:pPr>
              <w:jc w:val="both"/>
            </w:pPr>
          </w:p>
        </w:tc>
      </w:tr>
      <w:tr w:rsidR="001074F8">
        <w:tc>
          <w:tcPr>
            <w:tcW w:w="6473" w:type="dxa"/>
          </w:tcPr>
          <w:p w:rsidR="001074F8" w:rsidRDefault="00842CC7">
            <w:pPr>
              <w:jc w:val="both"/>
            </w:pPr>
            <w:r>
              <w:t>SECTION 3.  This Act takes effect September 1, 2019.</w:t>
            </w:r>
          </w:p>
          <w:p w:rsidR="001074F8" w:rsidRDefault="001074F8">
            <w:pPr>
              <w:jc w:val="both"/>
            </w:pPr>
          </w:p>
        </w:tc>
        <w:tc>
          <w:tcPr>
            <w:tcW w:w="6480" w:type="dxa"/>
          </w:tcPr>
          <w:p w:rsidR="001074F8" w:rsidRDefault="00842CC7">
            <w:pPr>
              <w:jc w:val="both"/>
            </w:pPr>
            <w:r>
              <w:t>SECTION 3. Same as House version.</w:t>
            </w:r>
          </w:p>
          <w:p w:rsidR="001074F8" w:rsidRDefault="001074F8">
            <w:pPr>
              <w:jc w:val="both"/>
            </w:pPr>
          </w:p>
          <w:p w:rsidR="001074F8" w:rsidRDefault="001074F8">
            <w:pPr>
              <w:jc w:val="both"/>
            </w:pPr>
          </w:p>
        </w:tc>
        <w:tc>
          <w:tcPr>
            <w:tcW w:w="5760" w:type="dxa"/>
          </w:tcPr>
          <w:p w:rsidR="001074F8" w:rsidRDefault="001074F8">
            <w:pPr>
              <w:jc w:val="both"/>
            </w:pPr>
          </w:p>
        </w:tc>
      </w:tr>
    </w:tbl>
    <w:p w:rsidR="000E3108" w:rsidRDefault="000E3108"/>
    <w:sectPr w:rsidR="000E3108" w:rsidSect="001074F8">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4F8" w:rsidRDefault="001074F8" w:rsidP="001074F8">
      <w:r>
        <w:separator/>
      </w:r>
    </w:p>
  </w:endnote>
  <w:endnote w:type="continuationSeparator" w:id="0">
    <w:p w:rsidR="001074F8" w:rsidRDefault="001074F8" w:rsidP="0010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47" w:rsidRDefault="00ED5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4F8" w:rsidRDefault="002D6D43">
    <w:pPr>
      <w:tabs>
        <w:tab w:val="center" w:pos="9360"/>
        <w:tab w:val="right" w:pos="18720"/>
      </w:tabs>
    </w:pPr>
    <w:r>
      <w:fldChar w:fldCharType="begin"/>
    </w:r>
    <w:r>
      <w:instrText xml:space="preserve"> DOCPROPERTY  CCRF  \* MERGEFORMAT </w:instrText>
    </w:r>
    <w:r>
      <w:fldChar w:fldCharType="separate"/>
    </w:r>
    <w:r w:rsidR="00275C4A">
      <w:t xml:space="preserve"> </w:t>
    </w:r>
    <w:r>
      <w:fldChar w:fldCharType="end"/>
    </w:r>
    <w:r w:rsidR="00842CC7">
      <w:tab/>
    </w:r>
    <w:r w:rsidR="001074F8">
      <w:fldChar w:fldCharType="begin"/>
    </w:r>
    <w:r w:rsidR="00842CC7">
      <w:instrText xml:space="preserve"> PAGE </w:instrText>
    </w:r>
    <w:r w:rsidR="001074F8">
      <w:fldChar w:fldCharType="separate"/>
    </w:r>
    <w:r>
      <w:rPr>
        <w:noProof/>
      </w:rPr>
      <w:t>2</w:t>
    </w:r>
    <w:r w:rsidR="001074F8">
      <w:fldChar w:fldCharType="end"/>
    </w:r>
    <w:r w:rsidR="00842CC7">
      <w:tab/>
    </w:r>
    <w:r w:rsidR="0012765A">
      <w:fldChar w:fldCharType="begin"/>
    </w:r>
    <w:r w:rsidR="0012765A">
      <w:instrText xml:space="preserve"> DOCPROPERTY  OTID  \* MERGEFORMAT </w:instrText>
    </w:r>
    <w:r w:rsidR="0012765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47" w:rsidRDefault="00ED5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4F8" w:rsidRDefault="001074F8" w:rsidP="001074F8">
      <w:r>
        <w:separator/>
      </w:r>
    </w:p>
  </w:footnote>
  <w:footnote w:type="continuationSeparator" w:id="0">
    <w:p w:rsidR="001074F8" w:rsidRDefault="001074F8" w:rsidP="0010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47" w:rsidRDefault="00ED5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47" w:rsidRDefault="00ED57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747" w:rsidRDefault="00ED57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F8"/>
    <w:rsid w:val="0004384F"/>
    <w:rsid w:val="000E3108"/>
    <w:rsid w:val="001074F8"/>
    <w:rsid w:val="001100D4"/>
    <w:rsid w:val="0012765A"/>
    <w:rsid w:val="00275C4A"/>
    <w:rsid w:val="002D2A0F"/>
    <w:rsid w:val="002D4A35"/>
    <w:rsid w:val="002D6D43"/>
    <w:rsid w:val="00842CC7"/>
    <w:rsid w:val="00ED5747"/>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EE29C7-845B-4EC6-8D47-A7124713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F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47"/>
    <w:pPr>
      <w:tabs>
        <w:tab w:val="center" w:pos="4680"/>
        <w:tab w:val="right" w:pos="9360"/>
      </w:tabs>
    </w:pPr>
  </w:style>
  <w:style w:type="character" w:customStyle="1" w:styleId="HeaderChar">
    <w:name w:val="Header Char"/>
    <w:basedOn w:val="DefaultParagraphFont"/>
    <w:link w:val="Header"/>
    <w:uiPriority w:val="99"/>
    <w:rsid w:val="00ED5747"/>
    <w:rPr>
      <w:sz w:val="22"/>
    </w:rPr>
  </w:style>
  <w:style w:type="paragraph" w:styleId="Footer">
    <w:name w:val="footer"/>
    <w:basedOn w:val="Normal"/>
    <w:link w:val="FooterChar"/>
    <w:uiPriority w:val="99"/>
    <w:unhideWhenUsed/>
    <w:rsid w:val="00ED5747"/>
    <w:pPr>
      <w:tabs>
        <w:tab w:val="center" w:pos="4680"/>
        <w:tab w:val="right" w:pos="9360"/>
      </w:tabs>
    </w:pPr>
  </w:style>
  <w:style w:type="character" w:customStyle="1" w:styleId="FooterChar">
    <w:name w:val="Footer Char"/>
    <w:basedOn w:val="DefaultParagraphFont"/>
    <w:link w:val="Footer"/>
    <w:uiPriority w:val="99"/>
    <w:rsid w:val="00ED57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HB1177-SAA</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HB1177-SAA</dc:title>
  <dc:subject/>
  <dc:creator>Hanna Brumbelow</dc:creator>
  <cp:keywords/>
  <dc:description/>
  <cp:lastModifiedBy>Hanna Brumbelow</cp:lastModifiedBy>
  <cp:revision>2</cp:revision>
  <dcterms:created xsi:type="dcterms:W3CDTF">2019-05-17T18:30:00Z</dcterms:created>
  <dcterms:modified xsi:type="dcterms:W3CDTF">2019-05-17T18:30:00Z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