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4A69AC" w:rsidTr="004A69AC">
        <w:trPr>
          <w:cantSplit/>
          <w:tblHeader/>
        </w:trPr>
        <w:tc>
          <w:tcPr>
            <w:tcW w:w="18713" w:type="dxa"/>
            <w:gridSpan w:val="3"/>
          </w:tcPr>
          <w:p w:rsidR="00782FD0" w:rsidRDefault="0077270C">
            <w:pPr>
              <w:ind w:left="650"/>
              <w:jc w:val="center"/>
            </w:pPr>
            <w:bookmarkStart w:id="0" w:name="_GoBack"/>
            <w:bookmarkEnd w:id="0"/>
            <w:r>
              <w:rPr>
                <w:b/>
              </w:rPr>
              <w:t>House Bill  1355</w:t>
            </w:r>
          </w:p>
          <w:p w:rsidR="00782FD0" w:rsidRDefault="0077270C">
            <w:pPr>
              <w:ind w:left="650"/>
              <w:jc w:val="center"/>
            </w:pPr>
            <w:r>
              <w:t>Senate Amendments</w:t>
            </w:r>
          </w:p>
          <w:p w:rsidR="00782FD0" w:rsidRDefault="0077270C">
            <w:pPr>
              <w:ind w:left="650"/>
              <w:jc w:val="center"/>
            </w:pPr>
            <w:r>
              <w:t>Section-by-Section Analysis</w:t>
            </w:r>
          </w:p>
          <w:p w:rsidR="00782FD0" w:rsidRDefault="00782FD0">
            <w:pPr>
              <w:jc w:val="center"/>
            </w:pPr>
          </w:p>
        </w:tc>
      </w:tr>
      <w:tr w:rsidR="00782FD0">
        <w:trPr>
          <w:cantSplit/>
          <w:tblHeader/>
        </w:trPr>
        <w:tc>
          <w:tcPr>
            <w:tcW w:w="1667" w:type="pct"/>
            <w:tcMar>
              <w:bottom w:w="188" w:type="dxa"/>
              <w:right w:w="0" w:type="dxa"/>
            </w:tcMar>
          </w:tcPr>
          <w:p w:rsidR="00782FD0" w:rsidRDefault="0077270C">
            <w:pPr>
              <w:jc w:val="center"/>
            </w:pPr>
            <w:r>
              <w:t>HOUSE VERSION</w:t>
            </w:r>
          </w:p>
        </w:tc>
        <w:tc>
          <w:tcPr>
            <w:tcW w:w="1667" w:type="pct"/>
            <w:tcMar>
              <w:bottom w:w="188" w:type="dxa"/>
              <w:right w:w="0" w:type="dxa"/>
            </w:tcMar>
          </w:tcPr>
          <w:p w:rsidR="00782FD0" w:rsidRDefault="0077270C">
            <w:pPr>
              <w:jc w:val="center"/>
            </w:pPr>
            <w:r>
              <w:t>SENATE VERSION (CS)</w:t>
            </w:r>
          </w:p>
        </w:tc>
        <w:tc>
          <w:tcPr>
            <w:tcW w:w="1667" w:type="pct"/>
            <w:tcMar>
              <w:bottom w:w="188" w:type="dxa"/>
              <w:right w:w="0" w:type="dxa"/>
            </w:tcMar>
          </w:tcPr>
          <w:p w:rsidR="00782FD0" w:rsidRDefault="0077270C">
            <w:pPr>
              <w:jc w:val="center"/>
            </w:pPr>
            <w:r>
              <w:t>CONFERENCE</w:t>
            </w:r>
          </w:p>
        </w:tc>
      </w:tr>
      <w:tr w:rsidR="00782FD0">
        <w:tc>
          <w:tcPr>
            <w:tcW w:w="6473" w:type="dxa"/>
          </w:tcPr>
          <w:p w:rsidR="00782FD0" w:rsidRDefault="0077270C">
            <w:pPr>
              <w:jc w:val="both"/>
            </w:pPr>
            <w:r w:rsidRPr="004A69AC">
              <w:rPr>
                <w:highlight w:val="lightGray"/>
              </w:rPr>
              <w:t>No equivalent provision.</w:t>
            </w:r>
          </w:p>
          <w:p w:rsidR="00782FD0" w:rsidRDefault="00782FD0">
            <w:pPr>
              <w:jc w:val="both"/>
            </w:pPr>
          </w:p>
        </w:tc>
        <w:tc>
          <w:tcPr>
            <w:tcW w:w="6480" w:type="dxa"/>
          </w:tcPr>
          <w:p w:rsidR="00782FD0" w:rsidRDefault="0077270C">
            <w:pPr>
              <w:jc w:val="both"/>
            </w:pPr>
            <w:r>
              <w:t>SECTION 1.  Article 18.01, Code of Criminal Procedure, is amended by amending Subsection (j) and adding Subsection (k) to read as follows:</w:t>
            </w:r>
          </w:p>
          <w:p w:rsidR="00782FD0" w:rsidRDefault="0077270C">
            <w:pPr>
              <w:jc w:val="both"/>
            </w:pPr>
            <w:r>
              <w:t xml:space="preserve">(j)  Any magistrate who is an attorney licensed by this state may issue a search warrant under Article </w:t>
            </w:r>
            <w:r>
              <w:rPr>
                <w:u w:val="single"/>
              </w:rPr>
              <w:t>18.02(a)(10)</w:t>
            </w:r>
            <w:r>
              <w:t xml:space="preserve"> [</w:t>
            </w:r>
            <w:r>
              <w:rPr>
                <w:strike/>
              </w:rPr>
              <w:t>18.02(10)</w:t>
            </w:r>
            <w:r>
              <w:t>] to collect a blood specimen from a person who:</w:t>
            </w:r>
          </w:p>
          <w:p w:rsidR="00782FD0" w:rsidRDefault="0077270C">
            <w:pPr>
              <w:jc w:val="both"/>
            </w:pPr>
            <w:r>
              <w:t>(1)  is arrested for an offense under Section 49.04, 49.045, 49.05, 49.06, 49.065, 49.07, or 49.08, Penal Code; and</w:t>
            </w:r>
          </w:p>
          <w:p w:rsidR="00782FD0" w:rsidRDefault="0077270C">
            <w:pPr>
              <w:jc w:val="both"/>
            </w:pPr>
            <w:r>
              <w:t>(2)  refuses to submit to a breath or blood alcohol test.</w:t>
            </w:r>
          </w:p>
          <w:p w:rsidR="00782FD0" w:rsidRDefault="0077270C">
            <w:pPr>
              <w:jc w:val="both"/>
            </w:pPr>
            <w:r>
              <w:rPr>
                <w:u w:val="single"/>
              </w:rPr>
              <w:t>(k)  Notwithstanding Subsections (i) and (j), a justice of the peace may issue a search warrant under Article 18.02(a)(10) to collect a blood specimen from a person who is arrested for an offense listed in Subsection (j)(1) if:</w:t>
            </w:r>
          </w:p>
          <w:p w:rsidR="00782FD0" w:rsidRDefault="0077270C">
            <w:pPr>
              <w:jc w:val="both"/>
            </w:pPr>
            <w:r>
              <w:rPr>
                <w:u w:val="single"/>
              </w:rPr>
              <w:t>(1)  another magistrate described by Subsection (i) or (j) is unavailable and unreachable; or</w:t>
            </w:r>
          </w:p>
          <w:p w:rsidR="00782FD0" w:rsidRDefault="0077270C">
            <w:pPr>
              <w:jc w:val="both"/>
            </w:pPr>
            <w:r>
              <w:rPr>
                <w:u w:val="single"/>
              </w:rPr>
              <w:t>(2)  exigent circumstances exist.</w:t>
            </w:r>
          </w:p>
          <w:p w:rsidR="00782FD0" w:rsidRDefault="00782FD0">
            <w:pPr>
              <w:jc w:val="both"/>
            </w:pPr>
          </w:p>
        </w:tc>
        <w:tc>
          <w:tcPr>
            <w:tcW w:w="5760" w:type="dxa"/>
          </w:tcPr>
          <w:p w:rsidR="00782FD0" w:rsidRDefault="00782FD0">
            <w:pPr>
              <w:jc w:val="both"/>
            </w:pPr>
          </w:p>
        </w:tc>
      </w:tr>
      <w:tr w:rsidR="00782FD0">
        <w:tc>
          <w:tcPr>
            <w:tcW w:w="6473" w:type="dxa"/>
          </w:tcPr>
          <w:p w:rsidR="00782FD0" w:rsidRDefault="0077270C">
            <w:pPr>
              <w:jc w:val="both"/>
            </w:pPr>
            <w:r>
              <w:t>SECTION 1.  Chapter 18, Code of Criminal Procedure, is amended by adding Article 18.067 to read as follows:</w:t>
            </w:r>
          </w:p>
          <w:p w:rsidR="00782FD0" w:rsidRDefault="0077270C">
            <w:pPr>
              <w:jc w:val="both"/>
            </w:pPr>
            <w:r>
              <w:rPr>
                <w:u w:val="single"/>
              </w:rPr>
              <w:t>Art. 18.067.  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782FD0" w:rsidRDefault="0077270C">
            <w:pPr>
              <w:jc w:val="both"/>
            </w:pPr>
            <w:r>
              <w:rPr>
                <w:u w:val="single"/>
              </w:rPr>
              <w:t>(1)  in any county adjacent to the county in which the warrant was issued; and</w:t>
            </w:r>
          </w:p>
          <w:p w:rsidR="00782FD0" w:rsidRDefault="0077270C">
            <w:pPr>
              <w:jc w:val="both"/>
            </w:pPr>
            <w:r>
              <w:rPr>
                <w:u w:val="single"/>
              </w:rPr>
              <w:t>(2)  by any law enforcement officer authorized to make an arrest in the county of execution.</w:t>
            </w:r>
          </w:p>
          <w:p w:rsidR="00782FD0" w:rsidRDefault="00782FD0">
            <w:pPr>
              <w:jc w:val="both"/>
            </w:pPr>
          </w:p>
        </w:tc>
        <w:tc>
          <w:tcPr>
            <w:tcW w:w="6480" w:type="dxa"/>
          </w:tcPr>
          <w:p w:rsidR="00782FD0" w:rsidRDefault="0077270C">
            <w:pPr>
              <w:jc w:val="both"/>
            </w:pPr>
            <w:r>
              <w:t>SECTION 2. Same as House version.</w:t>
            </w:r>
          </w:p>
          <w:p w:rsidR="00782FD0" w:rsidRDefault="00782FD0">
            <w:pPr>
              <w:jc w:val="both"/>
            </w:pPr>
          </w:p>
          <w:p w:rsidR="00782FD0" w:rsidRDefault="00782FD0">
            <w:pPr>
              <w:jc w:val="both"/>
            </w:pPr>
          </w:p>
        </w:tc>
        <w:tc>
          <w:tcPr>
            <w:tcW w:w="5760" w:type="dxa"/>
          </w:tcPr>
          <w:p w:rsidR="00782FD0" w:rsidRDefault="00782FD0">
            <w:pPr>
              <w:jc w:val="both"/>
            </w:pPr>
          </w:p>
        </w:tc>
      </w:tr>
      <w:tr w:rsidR="00782FD0">
        <w:tc>
          <w:tcPr>
            <w:tcW w:w="6473" w:type="dxa"/>
          </w:tcPr>
          <w:p w:rsidR="00782FD0" w:rsidRDefault="0077270C">
            <w:pPr>
              <w:jc w:val="both"/>
            </w:pPr>
            <w:r>
              <w:lastRenderedPageBreak/>
              <w:t>SECTION 2.  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782FD0" w:rsidRDefault="00782FD0">
            <w:pPr>
              <w:jc w:val="both"/>
            </w:pPr>
          </w:p>
        </w:tc>
        <w:tc>
          <w:tcPr>
            <w:tcW w:w="6480" w:type="dxa"/>
          </w:tcPr>
          <w:p w:rsidR="00782FD0" w:rsidRDefault="0077270C">
            <w:pPr>
              <w:jc w:val="both"/>
            </w:pPr>
            <w:r>
              <w:t>SECTION 3. Same as House version.</w:t>
            </w:r>
          </w:p>
          <w:p w:rsidR="00782FD0" w:rsidRDefault="00782FD0">
            <w:pPr>
              <w:jc w:val="both"/>
            </w:pPr>
          </w:p>
          <w:p w:rsidR="00782FD0" w:rsidRDefault="00782FD0">
            <w:pPr>
              <w:jc w:val="both"/>
            </w:pPr>
          </w:p>
        </w:tc>
        <w:tc>
          <w:tcPr>
            <w:tcW w:w="5760" w:type="dxa"/>
          </w:tcPr>
          <w:p w:rsidR="00782FD0" w:rsidRDefault="00782FD0">
            <w:pPr>
              <w:jc w:val="both"/>
            </w:pPr>
          </w:p>
        </w:tc>
      </w:tr>
      <w:tr w:rsidR="00782FD0">
        <w:tc>
          <w:tcPr>
            <w:tcW w:w="6473" w:type="dxa"/>
          </w:tcPr>
          <w:p w:rsidR="00782FD0" w:rsidRDefault="0077270C">
            <w:pPr>
              <w:jc w:val="both"/>
            </w:pPr>
            <w:r w:rsidRPr="004A69AC">
              <w:rPr>
                <w:highlight w:val="lightGray"/>
              </w:rPr>
              <w:t>No equivalent provision.</w:t>
            </w:r>
          </w:p>
          <w:p w:rsidR="00782FD0" w:rsidRDefault="00782FD0">
            <w:pPr>
              <w:jc w:val="both"/>
            </w:pPr>
          </w:p>
        </w:tc>
        <w:tc>
          <w:tcPr>
            <w:tcW w:w="6480" w:type="dxa"/>
          </w:tcPr>
          <w:p w:rsidR="00782FD0" w:rsidRDefault="0077270C">
            <w:pPr>
              <w:jc w:val="both"/>
            </w:pPr>
            <w:r>
              <w:t>SECTION 4.  To the extent of any conflict, this Act prevails over another Act of the 86th Legislature, Regular Session, 2019, relating to nonsubstantive additions to and corrections in enacted codes.</w:t>
            </w:r>
          </w:p>
          <w:p w:rsidR="00782FD0" w:rsidRDefault="00782FD0">
            <w:pPr>
              <w:jc w:val="both"/>
            </w:pPr>
          </w:p>
        </w:tc>
        <w:tc>
          <w:tcPr>
            <w:tcW w:w="5760" w:type="dxa"/>
          </w:tcPr>
          <w:p w:rsidR="00782FD0" w:rsidRDefault="00782FD0">
            <w:pPr>
              <w:jc w:val="both"/>
            </w:pPr>
          </w:p>
        </w:tc>
      </w:tr>
      <w:tr w:rsidR="00782FD0">
        <w:tc>
          <w:tcPr>
            <w:tcW w:w="6473" w:type="dxa"/>
          </w:tcPr>
          <w:p w:rsidR="00782FD0" w:rsidRDefault="0077270C">
            <w:pPr>
              <w:jc w:val="both"/>
            </w:pPr>
            <w:r>
              <w:t>SECTION 3.  This Act takes effect September 1, 2019.</w:t>
            </w:r>
          </w:p>
          <w:p w:rsidR="00782FD0" w:rsidRDefault="00782FD0">
            <w:pPr>
              <w:jc w:val="both"/>
            </w:pPr>
          </w:p>
        </w:tc>
        <w:tc>
          <w:tcPr>
            <w:tcW w:w="6480" w:type="dxa"/>
          </w:tcPr>
          <w:p w:rsidR="00782FD0" w:rsidRDefault="0077270C">
            <w:pPr>
              <w:jc w:val="both"/>
            </w:pPr>
            <w:r>
              <w:t>SECTION 5. Same as House version.</w:t>
            </w:r>
          </w:p>
          <w:p w:rsidR="00782FD0" w:rsidRDefault="00782FD0">
            <w:pPr>
              <w:jc w:val="both"/>
            </w:pPr>
          </w:p>
          <w:p w:rsidR="00782FD0" w:rsidRDefault="00782FD0">
            <w:pPr>
              <w:jc w:val="both"/>
            </w:pPr>
          </w:p>
        </w:tc>
        <w:tc>
          <w:tcPr>
            <w:tcW w:w="5760" w:type="dxa"/>
          </w:tcPr>
          <w:p w:rsidR="00782FD0" w:rsidRDefault="00782FD0">
            <w:pPr>
              <w:jc w:val="both"/>
            </w:pPr>
          </w:p>
        </w:tc>
      </w:tr>
    </w:tbl>
    <w:p w:rsidR="00B07D3C" w:rsidRDefault="00B07D3C"/>
    <w:sectPr w:rsidR="00B07D3C" w:rsidSect="00782FD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D0" w:rsidRDefault="00782FD0" w:rsidP="00782FD0">
      <w:r>
        <w:separator/>
      </w:r>
    </w:p>
  </w:endnote>
  <w:endnote w:type="continuationSeparator" w:id="0">
    <w:p w:rsidR="00782FD0" w:rsidRDefault="00782FD0" w:rsidP="0078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B4" w:rsidRDefault="0076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0" w:rsidRDefault="004A76AB">
    <w:pPr>
      <w:tabs>
        <w:tab w:val="center" w:pos="9360"/>
        <w:tab w:val="right" w:pos="18720"/>
      </w:tabs>
    </w:pPr>
    <w:r>
      <w:fldChar w:fldCharType="begin"/>
    </w:r>
    <w:r>
      <w:instrText xml:space="preserve"> DOCPROPERTY  CCRF  \* MERGEFORMAT </w:instrText>
    </w:r>
    <w:r>
      <w:fldChar w:fldCharType="separate"/>
    </w:r>
    <w:r w:rsidR="008075BF">
      <w:t xml:space="preserve"> </w:t>
    </w:r>
    <w:r>
      <w:fldChar w:fldCharType="end"/>
    </w:r>
    <w:r w:rsidR="0077270C">
      <w:tab/>
    </w:r>
    <w:r w:rsidR="00782FD0">
      <w:fldChar w:fldCharType="begin"/>
    </w:r>
    <w:r w:rsidR="0077270C">
      <w:instrText xml:space="preserve"> PAGE </w:instrText>
    </w:r>
    <w:r w:rsidR="00782FD0">
      <w:fldChar w:fldCharType="separate"/>
    </w:r>
    <w:r>
      <w:rPr>
        <w:noProof/>
      </w:rPr>
      <w:t>2</w:t>
    </w:r>
    <w:r w:rsidR="00782FD0">
      <w:fldChar w:fldCharType="end"/>
    </w:r>
    <w:r w:rsidR="0077270C">
      <w:tab/>
    </w:r>
    <w:r w:rsidR="00471A9D">
      <w:fldChar w:fldCharType="begin"/>
    </w:r>
    <w:r w:rsidR="00471A9D">
      <w:instrText xml:space="preserve"> DOCPROPERTY  OTID  \* MERGEFORMAT </w:instrText>
    </w:r>
    <w:r w:rsidR="00471A9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B4" w:rsidRDefault="0076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D0" w:rsidRDefault="00782FD0" w:rsidP="00782FD0">
      <w:r>
        <w:separator/>
      </w:r>
    </w:p>
  </w:footnote>
  <w:footnote w:type="continuationSeparator" w:id="0">
    <w:p w:rsidR="00782FD0" w:rsidRDefault="00782FD0" w:rsidP="0078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B4" w:rsidRDefault="0076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B4" w:rsidRDefault="00761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B4" w:rsidRDefault="00761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D0"/>
    <w:rsid w:val="003B67DE"/>
    <w:rsid w:val="00471A9D"/>
    <w:rsid w:val="004A69AC"/>
    <w:rsid w:val="004A76AB"/>
    <w:rsid w:val="007612B4"/>
    <w:rsid w:val="0077270C"/>
    <w:rsid w:val="00782FD0"/>
    <w:rsid w:val="008075BF"/>
    <w:rsid w:val="00B07D3C"/>
    <w:rsid w:val="00BC05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8FF54-2C7B-4F07-A950-AFEA3201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B4"/>
    <w:pPr>
      <w:tabs>
        <w:tab w:val="center" w:pos="4680"/>
        <w:tab w:val="right" w:pos="9360"/>
      </w:tabs>
    </w:pPr>
  </w:style>
  <w:style w:type="character" w:customStyle="1" w:styleId="HeaderChar">
    <w:name w:val="Header Char"/>
    <w:basedOn w:val="DefaultParagraphFont"/>
    <w:link w:val="Header"/>
    <w:uiPriority w:val="99"/>
    <w:rsid w:val="007612B4"/>
    <w:rPr>
      <w:sz w:val="22"/>
    </w:rPr>
  </w:style>
  <w:style w:type="paragraph" w:styleId="Footer">
    <w:name w:val="footer"/>
    <w:basedOn w:val="Normal"/>
    <w:link w:val="FooterChar"/>
    <w:uiPriority w:val="99"/>
    <w:unhideWhenUsed/>
    <w:rsid w:val="007612B4"/>
    <w:pPr>
      <w:tabs>
        <w:tab w:val="center" w:pos="4680"/>
        <w:tab w:val="right" w:pos="9360"/>
      </w:tabs>
    </w:pPr>
  </w:style>
  <w:style w:type="character" w:customStyle="1" w:styleId="FooterChar">
    <w:name w:val="Footer Char"/>
    <w:basedOn w:val="DefaultParagraphFont"/>
    <w:link w:val="Footer"/>
    <w:uiPriority w:val="99"/>
    <w:rsid w:val="007612B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HB1355-SAA</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HB1355-SAA</dc:title>
  <dc:subject/>
  <dc:creator>Hanna Brumbelow</dc:creator>
  <cp:keywords/>
  <dc:description/>
  <cp:lastModifiedBy>Hanna Brumbelow</cp:lastModifiedBy>
  <cp:revision>2</cp:revision>
  <dcterms:created xsi:type="dcterms:W3CDTF">2019-05-23T00:15:00Z</dcterms:created>
  <dcterms:modified xsi:type="dcterms:W3CDTF">2019-05-23T00:15:00Z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