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B20338" w:rsidTr="00B20338">
        <w:trPr>
          <w:cantSplit/>
          <w:tblHeader/>
        </w:trPr>
        <w:tc>
          <w:tcPr>
            <w:tcW w:w="18713" w:type="dxa"/>
            <w:gridSpan w:val="3"/>
          </w:tcPr>
          <w:p w:rsidR="003236AB" w:rsidRDefault="00DB7CBD">
            <w:pPr>
              <w:ind w:left="650"/>
              <w:jc w:val="center"/>
            </w:pPr>
            <w:bookmarkStart w:id="0" w:name="_GoBack"/>
            <w:bookmarkEnd w:id="0"/>
            <w:r>
              <w:rPr>
                <w:b/>
              </w:rPr>
              <w:t>House Bill  1767</w:t>
            </w:r>
          </w:p>
          <w:p w:rsidR="003236AB" w:rsidRDefault="00DB7CBD">
            <w:pPr>
              <w:ind w:left="650"/>
              <w:jc w:val="center"/>
            </w:pPr>
            <w:r>
              <w:t>Senate Amendments</w:t>
            </w:r>
          </w:p>
          <w:p w:rsidR="003236AB" w:rsidRDefault="00DB7CBD">
            <w:pPr>
              <w:ind w:left="650"/>
              <w:jc w:val="center"/>
            </w:pPr>
            <w:r>
              <w:t>Section-by-Section Analysis</w:t>
            </w:r>
          </w:p>
          <w:p w:rsidR="003236AB" w:rsidRDefault="003236AB">
            <w:pPr>
              <w:jc w:val="center"/>
            </w:pPr>
          </w:p>
        </w:tc>
      </w:tr>
      <w:tr w:rsidR="003236AB">
        <w:trPr>
          <w:cantSplit/>
          <w:tblHeader/>
        </w:trPr>
        <w:tc>
          <w:tcPr>
            <w:tcW w:w="1667" w:type="pct"/>
            <w:tcMar>
              <w:bottom w:w="188" w:type="dxa"/>
              <w:right w:w="0" w:type="dxa"/>
            </w:tcMar>
          </w:tcPr>
          <w:p w:rsidR="003236AB" w:rsidRDefault="00DB7CBD">
            <w:pPr>
              <w:jc w:val="center"/>
            </w:pPr>
            <w:r>
              <w:t>HOUSE VERSION</w:t>
            </w:r>
          </w:p>
        </w:tc>
        <w:tc>
          <w:tcPr>
            <w:tcW w:w="1667" w:type="pct"/>
            <w:tcMar>
              <w:bottom w:w="188" w:type="dxa"/>
              <w:right w:w="0" w:type="dxa"/>
            </w:tcMar>
          </w:tcPr>
          <w:p w:rsidR="003236AB" w:rsidRDefault="00DB7CBD">
            <w:pPr>
              <w:jc w:val="center"/>
            </w:pPr>
            <w:r>
              <w:t>SENATE VERSION (IE)</w:t>
            </w:r>
          </w:p>
        </w:tc>
        <w:tc>
          <w:tcPr>
            <w:tcW w:w="1667" w:type="pct"/>
            <w:tcMar>
              <w:bottom w:w="188" w:type="dxa"/>
              <w:right w:w="0" w:type="dxa"/>
            </w:tcMar>
          </w:tcPr>
          <w:p w:rsidR="003236AB" w:rsidRDefault="00DB7CBD">
            <w:pPr>
              <w:jc w:val="center"/>
            </w:pPr>
            <w:r>
              <w:t>CONFERENCE</w:t>
            </w:r>
          </w:p>
        </w:tc>
      </w:tr>
      <w:tr w:rsidR="003236AB">
        <w:tc>
          <w:tcPr>
            <w:tcW w:w="6473" w:type="dxa"/>
          </w:tcPr>
          <w:p w:rsidR="003236AB" w:rsidRDefault="00DB7CBD">
            <w:pPr>
              <w:jc w:val="both"/>
            </w:pPr>
            <w:r>
              <w:t>SECTION 1.  Subchapter B, Chapter 104, Utilities Code, is amended by adding Section 104.060 to read as follows:</w:t>
            </w:r>
          </w:p>
          <w:p w:rsidR="00D95FEC" w:rsidRDefault="00DB7CBD">
            <w:pPr>
              <w:jc w:val="both"/>
              <w:rPr>
                <w:u w:val="single"/>
              </w:rPr>
            </w:pPr>
            <w:r>
              <w:rPr>
                <w:u w:val="single"/>
              </w:rPr>
              <w:t>Sec. 104.060.  CONSIDERATION OF COMPENSATION AND BENEFIT EXPENSES.  (a)  In this section, "employee compensation and benefits" includes base salaries, wages, incentive compensation, and benefits. The term does not include</w:t>
            </w:r>
          </w:p>
          <w:p w:rsidR="003236AB" w:rsidRDefault="00DB7CBD">
            <w:pPr>
              <w:jc w:val="both"/>
            </w:pPr>
            <w:r>
              <w:rPr>
                <w:u w:val="single"/>
              </w:rPr>
              <w:t xml:space="preserve">pension </w:t>
            </w:r>
            <w:r w:rsidRPr="001E4259">
              <w:rPr>
                <w:highlight w:val="lightGray"/>
                <w:u w:val="single"/>
              </w:rPr>
              <w:t>and</w:t>
            </w:r>
            <w:r>
              <w:rPr>
                <w:u w:val="single"/>
              </w:rPr>
              <w:t xml:space="preserve"> other postemployment benefits.</w:t>
            </w:r>
          </w:p>
          <w:p w:rsidR="00B20338" w:rsidRDefault="00B20338">
            <w:pPr>
              <w:jc w:val="both"/>
              <w:rPr>
                <w:u w:val="single"/>
              </w:rPr>
            </w:pPr>
          </w:p>
          <w:p w:rsidR="00B20338" w:rsidRDefault="00B20338">
            <w:pPr>
              <w:jc w:val="both"/>
              <w:rPr>
                <w:u w:val="single"/>
              </w:rPr>
            </w:pPr>
          </w:p>
          <w:p w:rsidR="00B20338" w:rsidRDefault="00B20338">
            <w:pPr>
              <w:jc w:val="both"/>
              <w:rPr>
                <w:u w:val="single"/>
              </w:rPr>
            </w:pPr>
          </w:p>
          <w:p w:rsidR="003236AB" w:rsidRDefault="00DB7CBD">
            <w:pPr>
              <w:jc w:val="both"/>
            </w:pPr>
            <w:r>
              <w:rPr>
                <w:u w:val="single"/>
              </w:rPr>
              <w:t xml:space="preserve">(b)  When establishing a gas utility's rates, the regulatory authority shall presume that employee compensation and benefits expenses are reasonable and necessary if the expenses are consistent with </w:t>
            </w:r>
            <w:r w:rsidRPr="00D95FEC">
              <w:rPr>
                <w:highlight w:val="lightGray"/>
                <w:u w:val="single"/>
              </w:rPr>
              <w:t>recent</w:t>
            </w:r>
            <w:r>
              <w:rPr>
                <w:u w:val="single"/>
              </w:rPr>
              <w:t xml:space="preserve"> market compensation studies.</w:t>
            </w:r>
          </w:p>
          <w:p w:rsidR="003236AB" w:rsidRDefault="003236AB">
            <w:pPr>
              <w:jc w:val="both"/>
            </w:pPr>
          </w:p>
        </w:tc>
        <w:tc>
          <w:tcPr>
            <w:tcW w:w="6480" w:type="dxa"/>
          </w:tcPr>
          <w:p w:rsidR="003236AB" w:rsidRDefault="00DB7CBD">
            <w:pPr>
              <w:jc w:val="both"/>
            </w:pPr>
            <w:r>
              <w:t>SECTION 1.  Subchapter B, Chapter 104, Utilities Code, is amended by adding Section 104.060 to read as follows:</w:t>
            </w:r>
          </w:p>
          <w:p w:rsidR="003236AB" w:rsidRDefault="00DB7CBD">
            <w:pPr>
              <w:jc w:val="both"/>
            </w:pPr>
            <w:r>
              <w:rPr>
                <w:u w:val="single"/>
              </w:rPr>
              <w:t>Sec. 104.060.  CONSIDERATION OF COMPENSATION AND BENEFIT EXPENSES.  (a)  In this section, "employee compensation and benefits" includes base salaries, wages, incentive compensation, and benefits. The term does not include:</w:t>
            </w:r>
          </w:p>
          <w:p w:rsidR="003236AB" w:rsidRPr="00D95FEC" w:rsidRDefault="00DB7CBD">
            <w:pPr>
              <w:jc w:val="both"/>
              <w:rPr>
                <w:highlight w:val="lightGray"/>
              </w:rPr>
            </w:pPr>
            <w:r>
              <w:rPr>
                <w:u w:val="single"/>
              </w:rPr>
              <w:t xml:space="preserve">(1)  pension </w:t>
            </w:r>
            <w:r w:rsidRPr="001E4259">
              <w:rPr>
                <w:highlight w:val="lightGray"/>
                <w:u w:val="single"/>
              </w:rPr>
              <w:t>or</w:t>
            </w:r>
            <w:r>
              <w:rPr>
                <w:u w:val="single"/>
              </w:rPr>
              <w:t xml:space="preserve"> other postemployment benefits; </w:t>
            </w:r>
            <w:r w:rsidRPr="00D95FEC">
              <w:rPr>
                <w:highlight w:val="lightGray"/>
                <w:u w:val="single"/>
              </w:rPr>
              <w:t>and</w:t>
            </w:r>
          </w:p>
          <w:p w:rsidR="003236AB" w:rsidRDefault="00DB7CBD">
            <w:pPr>
              <w:jc w:val="both"/>
            </w:pPr>
            <w:r w:rsidRPr="00D95FEC">
              <w:rPr>
                <w:highlight w:val="lightGray"/>
                <w:u w:val="single"/>
              </w:rPr>
              <w:t>(2)  incentive compensation related to attaining financial metrics for an executive officer whose compensation is required to be disclosed under 17 C.F.R. Section 229.402(a).</w:t>
            </w:r>
          </w:p>
          <w:p w:rsidR="003236AB" w:rsidRDefault="00DB7CBD">
            <w:pPr>
              <w:jc w:val="both"/>
            </w:pPr>
            <w:r>
              <w:rPr>
                <w:u w:val="single"/>
              </w:rPr>
              <w:t xml:space="preserve">(b)  When establishing a gas utility's rates, the regulatory authority shall presume that employee compensation and benefits expenses are reasonable and necessary if the expenses are consistent with market compensation </w:t>
            </w:r>
            <w:r w:rsidRPr="00D95FEC">
              <w:rPr>
                <w:highlight w:val="lightGray"/>
                <w:u w:val="single"/>
              </w:rPr>
              <w:t>studies issued not earlier than three years before the initiation of the proceeding to establish the rates.</w:t>
            </w:r>
            <w:r>
              <w:t xml:space="preserve">  [FA1]</w:t>
            </w:r>
          </w:p>
          <w:p w:rsidR="003236AB" w:rsidRDefault="003236AB">
            <w:pPr>
              <w:jc w:val="both"/>
            </w:pPr>
          </w:p>
        </w:tc>
        <w:tc>
          <w:tcPr>
            <w:tcW w:w="5760" w:type="dxa"/>
          </w:tcPr>
          <w:p w:rsidR="003236AB" w:rsidRDefault="003236AB">
            <w:pPr>
              <w:jc w:val="both"/>
            </w:pPr>
          </w:p>
        </w:tc>
      </w:tr>
      <w:tr w:rsidR="003236AB">
        <w:tc>
          <w:tcPr>
            <w:tcW w:w="6473" w:type="dxa"/>
          </w:tcPr>
          <w:p w:rsidR="003236AB" w:rsidRDefault="00DB7CBD">
            <w:pPr>
              <w:jc w:val="both"/>
            </w:pPr>
            <w:r>
              <w:t>SECTION 2.  (a)  Section 104.060, Utilities Code, as added by this Act, applies only to a proceeding for the establishment of rates for which the regulatory authority has not issued a final order or decision before the effective date of this Act.</w:t>
            </w:r>
          </w:p>
          <w:p w:rsidR="003236AB" w:rsidRDefault="00DB7CBD">
            <w:pPr>
              <w:jc w:val="both"/>
            </w:pPr>
            <w:r>
              <w:t>(b)  A proceeding for which the regulatory authority has issued a final order or decision before the effective date of this Act is governed by the law in effect immediately before that date, and that law is continued in effect for that purpose.</w:t>
            </w:r>
          </w:p>
          <w:p w:rsidR="003236AB" w:rsidRDefault="003236AB">
            <w:pPr>
              <w:jc w:val="both"/>
            </w:pPr>
          </w:p>
        </w:tc>
        <w:tc>
          <w:tcPr>
            <w:tcW w:w="6480" w:type="dxa"/>
          </w:tcPr>
          <w:p w:rsidR="003236AB" w:rsidRDefault="00DB7CBD">
            <w:pPr>
              <w:jc w:val="both"/>
            </w:pPr>
            <w:r>
              <w:t>SECTION 2. Same as House version.</w:t>
            </w:r>
          </w:p>
          <w:p w:rsidR="003236AB" w:rsidRDefault="003236AB">
            <w:pPr>
              <w:jc w:val="both"/>
            </w:pPr>
          </w:p>
          <w:p w:rsidR="003236AB" w:rsidRDefault="003236AB">
            <w:pPr>
              <w:jc w:val="both"/>
            </w:pPr>
          </w:p>
        </w:tc>
        <w:tc>
          <w:tcPr>
            <w:tcW w:w="5760" w:type="dxa"/>
          </w:tcPr>
          <w:p w:rsidR="003236AB" w:rsidRDefault="003236AB">
            <w:pPr>
              <w:jc w:val="both"/>
            </w:pPr>
          </w:p>
        </w:tc>
      </w:tr>
      <w:tr w:rsidR="003236AB">
        <w:tc>
          <w:tcPr>
            <w:tcW w:w="6473" w:type="dxa"/>
          </w:tcPr>
          <w:p w:rsidR="003236AB" w:rsidRDefault="00DB7CBD">
            <w:pPr>
              <w:jc w:val="both"/>
            </w:pPr>
            <w:r>
              <w:t xml:space="preserve">SECTION 3.  This Act takes effect immediately if it receives a vote of two-thirds of all the members elected to each house, </w:t>
            </w:r>
            <w:r>
              <w:lastRenderedPageBreak/>
              <w:t>as provided by Section 39, Article III, Texas Constitution.  If this Act does not receive the vote necessary for immediate effect, this Act takes effect September 1, 2019.</w:t>
            </w:r>
          </w:p>
          <w:p w:rsidR="003236AB" w:rsidRDefault="003236AB">
            <w:pPr>
              <w:jc w:val="both"/>
            </w:pPr>
          </w:p>
        </w:tc>
        <w:tc>
          <w:tcPr>
            <w:tcW w:w="6480" w:type="dxa"/>
          </w:tcPr>
          <w:p w:rsidR="003236AB" w:rsidRDefault="00DB7CBD">
            <w:pPr>
              <w:jc w:val="both"/>
            </w:pPr>
            <w:r>
              <w:lastRenderedPageBreak/>
              <w:t>SECTION 3. Same as House version.</w:t>
            </w:r>
          </w:p>
          <w:p w:rsidR="003236AB" w:rsidRDefault="003236AB">
            <w:pPr>
              <w:jc w:val="both"/>
            </w:pPr>
          </w:p>
          <w:p w:rsidR="003236AB" w:rsidRDefault="003236AB">
            <w:pPr>
              <w:jc w:val="both"/>
            </w:pPr>
          </w:p>
        </w:tc>
        <w:tc>
          <w:tcPr>
            <w:tcW w:w="5760" w:type="dxa"/>
          </w:tcPr>
          <w:p w:rsidR="003236AB" w:rsidRDefault="003236AB">
            <w:pPr>
              <w:jc w:val="both"/>
            </w:pPr>
          </w:p>
        </w:tc>
      </w:tr>
    </w:tbl>
    <w:p w:rsidR="000C4646" w:rsidRDefault="000C4646"/>
    <w:sectPr w:rsidR="000C4646" w:rsidSect="003236AB">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6AB" w:rsidRDefault="003236AB" w:rsidP="003236AB">
      <w:r>
        <w:separator/>
      </w:r>
    </w:p>
  </w:endnote>
  <w:endnote w:type="continuationSeparator" w:id="0">
    <w:p w:rsidR="003236AB" w:rsidRDefault="003236AB" w:rsidP="0032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FD7" w:rsidRDefault="005A5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6AB" w:rsidRDefault="000844A9">
    <w:pPr>
      <w:tabs>
        <w:tab w:val="center" w:pos="9360"/>
        <w:tab w:val="right" w:pos="18720"/>
      </w:tabs>
    </w:pPr>
    <w:r>
      <w:fldChar w:fldCharType="begin"/>
    </w:r>
    <w:r>
      <w:instrText xml:space="preserve"> DOCPROPERTY  CCRF  \* MERGEFORMAT </w:instrText>
    </w:r>
    <w:r>
      <w:fldChar w:fldCharType="separate"/>
    </w:r>
    <w:r w:rsidR="00325109">
      <w:t xml:space="preserve"> </w:t>
    </w:r>
    <w:r>
      <w:fldChar w:fldCharType="end"/>
    </w:r>
    <w:r w:rsidR="00DB7CBD">
      <w:tab/>
    </w:r>
    <w:r w:rsidR="003236AB">
      <w:fldChar w:fldCharType="begin"/>
    </w:r>
    <w:r w:rsidR="00DB7CBD">
      <w:instrText xml:space="preserve"> PAGE </w:instrText>
    </w:r>
    <w:r w:rsidR="003236AB">
      <w:fldChar w:fldCharType="separate"/>
    </w:r>
    <w:r>
      <w:rPr>
        <w:noProof/>
      </w:rPr>
      <w:t>2</w:t>
    </w:r>
    <w:r w:rsidR="003236AB">
      <w:fldChar w:fldCharType="end"/>
    </w:r>
    <w:r w:rsidR="00DB7CBD">
      <w:tab/>
    </w:r>
    <w:r w:rsidR="00854F7C">
      <w:fldChar w:fldCharType="begin"/>
    </w:r>
    <w:r w:rsidR="00854F7C">
      <w:instrText xml:space="preserve"> DOCPROPERTY  OTID  \* MERGEFORMAT </w:instrText>
    </w:r>
    <w:r w:rsidR="00854F7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FD7" w:rsidRDefault="005A5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6AB" w:rsidRDefault="003236AB" w:rsidP="003236AB">
      <w:r>
        <w:separator/>
      </w:r>
    </w:p>
  </w:footnote>
  <w:footnote w:type="continuationSeparator" w:id="0">
    <w:p w:rsidR="003236AB" w:rsidRDefault="003236AB" w:rsidP="00323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FD7" w:rsidRDefault="005A5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FD7" w:rsidRDefault="005A5F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FD7" w:rsidRDefault="005A5F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AB"/>
    <w:rsid w:val="000844A9"/>
    <w:rsid w:val="000C4646"/>
    <w:rsid w:val="001E4259"/>
    <w:rsid w:val="003236AB"/>
    <w:rsid w:val="00325109"/>
    <w:rsid w:val="005A5FD7"/>
    <w:rsid w:val="00854F7C"/>
    <w:rsid w:val="00B20338"/>
    <w:rsid w:val="00D95FEC"/>
    <w:rsid w:val="00DB7CB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786C5-6A3B-4055-905F-0BA3E407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6A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FD7"/>
    <w:pPr>
      <w:tabs>
        <w:tab w:val="center" w:pos="4680"/>
        <w:tab w:val="right" w:pos="9360"/>
      </w:tabs>
    </w:pPr>
  </w:style>
  <w:style w:type="character" w:customStyle="1" w:styleId="HeaderChar">
    <w:name w:val="Header Char"/>
    <w:basedOn w:val="DefaultParagraphFont"/>
    <w:link w:val="Header"/>
    <w:uiPriority w:val="99"/>
    <w:rsid w:val="005A5FD7"/>
    <w:rPr>
      <w:sz w:val="22"/>
    </w:rPr>
  </w:style>
  <w:style w:type="paragraph" w:styleId="Footer">
    <w:name w:val="footer"/>
    <w:basedOn w:val="Normal"/>
    <w:link w:val="FooterChar"/>
    <w:uiPriority w:val="99"/>
    <w:unhideWhenUsed/>
    <w:rsid w:val="005A5FD7"/>
    <w:pPr>
      <w:tabs>
        <w:tab w:val="center" w:pos="4680"/>
        <w:tab w:val="right" w:pos="9360"/>
      </w:tabs>
    </w:pPr>
  </w:style>
  <w:style w:type="character" w:customStyle="1" w:styleId="FooterChar">
    <w:name w:val="Footer Char"/>
    <w:basedOn w:val="DefaultParagraphFont"/>
    <w:link w:val="Footer"/>
    <w:uiPriority w:val="99"/>
    <w:rsid w:val="005A5FD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HB1767-SAA</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HB1767-SAA</dc:title>
  <dc:subject/>
  <dc:creator>Hanna Brumbelow</dc:creator>
  <cp:keywords/>
  <dc:description/>
  <cp:lastModifiedBy>Hanna Brumbelow</cp:lastModifiedBy>
  <cp:revision>2</cp:revision>
  <dcterms:created xsi:type="dcterms:W3CDTF">2019-05-14T20:28:00Z</dcterms:created>
  <dcterms:modified xsi:type="dcterms:W3CDTF">2019-05-14T20:28:00Z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