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B4038" w:rsidTr="008B4038">
        <w:trPr>
          <w:cantSplit/>
          <w:tblHeader/>
        </w:trPr>
        <w:tc>
          <w:tcPr>
            <w:tcW w:w="18713" w:type="dxa"/>
            <w:gridSpan w:val="3"/>
          </w:tcPr>
          <w:p w:rsidR="003D2FE4" w:rsidRDefault="00D461D5">
            <w:pPr>
              <w:ind w:left="650"/>
              <w:jc w:val="center"/>
            </w:pPr>
            <w:bookmarkStart w:id="0" w:name="_GoBack"/>
            <w:bookmarkEnd w:id="0"/>
            <w:r>
              <w:rPr>
                <w:b/>
              </w:rPr>
              <w:t>House Bill  1824</w:t>
            </w:r>
          </w:p>
          <w:p w:rsidR="003D2FE4" w:rsidRDefault="00D461D5">
            <w:pPr>
              <w:ind w:left="650"/>
              <w:jc w:val="center"/>
            </w:pPr>
            <w:r>
              <w:t>Senate Amendments</w:t>
            </w:r>
          </w:p>
          <w:p w:rsidR="003D2FE4" w:rsidRDefault="00D461D5">
            <w:pPr>
              <w:ind w:left="650"/>
              <w:jc w:val="center"/>
            </w:pPr>
            <w:r>
              <w:t>Section-by-Section Analysis</w:t>
            </w:r>
          </w:p>
          <w:p w:rsidR="003D2FE4" w:rsidRDefault="003D2FE4">
            <w:pPr>
              <w:jc w:val="center"/>
            </w:pPr>
          </w:p>
        </w:tc>
      </w:tr>
      <w:tr w:rsidR="003D2FE4">
        <w:trPr>
          <w:cantSplit/>
          <w:tblHeader/>
        </w:trPr>
        <w:tc>
          <w:tcPr>
            <w:tcW w:w="1667" w:type="pct"/>
            <w:tcMar>
              <w:bottom w:w="188" w:type="dxa"/>
              <w:right w:w="0" w:type="dxa"/>
            </w:tcMar>
          </w:tcPr>
          <w:p w:rsidR="003D2FE4" w:rsidRDefault="00D461D5">
            <w:pPr>
              <w:jc w:val="center"/>
            </w:pPr>
            <w:r>
              <w:t>HOUSE VERSION</w:t>
            </w:r>
          </w:p>
        </w:tc>
        <w:tc>
          <w:tcPr>
            <w:tcW w:w="1667" w:type="pct"/>
            <w:tcMar>
              <w:bottom w:w="188" w:type="dxa"/>
              <w:right w:w="0" w:type="dxa"/>
            </w:tcMar>
          </w:tcPr>
          <w:p w:rsidR="003D2FE4" w:rsidRDefault="00D461D5">
            <w:pPr>
              <w:jc w:val="center"/>
            </w:pPr>
            <w:r>
              <w:t>SENATE VERSION (IE)</w:t>
            </w:r>
          </w:p>
        </w:tc>
        <w:tc>
          <w:tcPr>
            <w:tcW w:w="1667" w:type="pct"/>
            <w:tcMar>
              <w:bottom w:w="188" w:type="dxa"/>
              <w:right w:w="0" w:type="dxa"/>
            </w:tcMar>
          </w:tcPr>
          <w:p w:rsidR="003D2FE4" w:rsidRDefault="00D461D5">
            <w:pPr>
              <w:jc w:val="center"/>
            </w:pPr>
            <w:r>
              <w:t>CONFERENCE</w:t>
            </w:r>
          </w:p>
        </w:tc>
      </w:tr>
      <w:tr w:rsidR="003D2FE4">
        <w:tc>
          <w:tcPr>
            <w:tcW w:w="6473" w:type="dxa"/>
          </w:tcPr>
          <w:p w:rsidR="003D2FE4" w:rsidRDefault="00D461D5">
            <w:pPr>
              <w:jc w:val="both"/>
            </w:pPr>
            <w:r>
              <w:t>SECTION 1.  Section 86.017, Parks and Wildlife Code, is amended to read as follows:</w:t>
            </w:r>
          </w:p>
          <w:p w:rsidR="003D2FE4" w:rsidRDefault="00D461D5">
            <w:pPr>
              <w:jc w:val="both"/>
            </w:pPr>
            <w:r>
              <w:t xml:space="preserve">Sec. 86.017.  USE OF FUNDS.  </w:t>
            </w:r>
            <w:r>
              <w:rPr>
                <w:u w:val="single"/>
              </w:rPr>
              <w:t>(a)  Except as provided by Subsection (b), funds</w:t>
            </w:r>
            <w:r>
              <w:t xml:space="preserve"> [</w:t>
            </w:r>
            <w:r>
              <w:rPr>
                <w:strike/>
              </w:rPr>
              <w:t>Funds</w:t>
            </w:r>
            <w:r>
              <w:t>] collected by the commission from the sale of marl, sand, gravel, shell, and mudshell may be used for</w:t>
            </w:r>
            <w:r>
              <w:rPr>
                <w:u w:val="single"/>
              </w:rPr>
              <w:t>:</w:t>
            </w:r>
          </w:p>
          <w:p w:rsidR="003D2FE4" w:rsidRDefault="00D461D5">
            <w:pPr>
              <w:jc w:val="both"/>
            </w:pPr>
            <w:r>
              <w:rPr>
                <w:u w:val="single"/>
              </w:rPr>
              <w:t>(1)</w:t>
            </w:r>
            <w:r>
              <w:t xml:space="preserve">  the enforcement of the provisions of this chapter</w:t>
            </w:r>
            <w:r>
              <w:rPr>
                <w:u w:val="single"/>
              </w:rPr>
              <w:t>;</w:t>
            </w:r>
          </w:p>
          <w:p w:rsidR="003D2FE4" w:rsidRDefault="00D461D5">
            <w:pPr>
              <w:jc w:val="both"/>
            </w:pPr>
            <w:r>
              <w:rPr>
                <w:u w:val="single"/>
              </w:rPr>
              <w:t>(2)</w:t>
            </w:r>
            <w:r>
              <w:t xml:space="preserve">  [</w:t>
            </w:r>
            <w:r>
              <w:rPr>
                <w:strike/>
              </w:rPr>
              <w:t>,</w:t>
            </w:r>
            <w:r>
              <w:t>] the payment of refunds</w:t>
            </w:r>
            <w:r>
              <w:rPr>
                <w:u w:val="single"/>
              </w:rPr>
              <w:t>;</w:t>
            </w:r>
          </w:p>
          <w:p w:rsidR="003D2FE4" w:rsidRDefault="00D461D5">
            <w:pPr>
              <w:jc w:val="both"/>
            </w:pPr>
            <w:r>
              <w:rPr>
                <w:u w:val="single"/>
              </w:rPr>
              <w:t>(3)</w:t>
            </w:r>
            <w:r>
              <w:t xml:space="preserve">  [</w:t>
            </w:r>
            <w:r>
              <w:rPr>
                <w:strike/>
              </w:rPr>
              <w:t>, and</w:t>
            </w:r>
            <w:r>
              <w:t>] the construction and maintenance of fish hatcheries</w:t>
            </w:r>
            <w:r>
              <w:rPr>
                <w:u w:val="single"/>
              </w:rPr>
              <w:t>; and</w:t>
            </w:r>
          </w:p>
          <w:p w:rsidR="003D2FE4" w:rsidRDefault="00D461D5">
            <w:pPr>
              <w:jc w:val="both"/>
            </w:pPr>
            <w:r>
              <w:rPr>
                <w:u w:val="single"/>
              </w:rPr>
              <w:t>(4)  the enhancement, preservation, and restoration of fish habitats in rivers and streams</w:t>
            </w:r>
            <w:r>
              <w:t>.</w:t>
            </w:r>
          </w:p>
          <w:p w:rsidR="003D2FE4" w:rsidRDefault="00D461D5">
            <w:pPr>
              <w:jc w:val="both"/>
            </w:pPr>
            <w:r>
              <w:rPr>
                <w:u w:val="single"/>
              </w:rPr>
              <w:t>(b)</w:t>
            </w:r>
            <w:r>
              <w:t xml:space="preserve">  No less than three-fourths of the proceeds from the sale of marl, sand, gravel, shell, and mudshell, after the payment of refunds, shall be used for</w:t>
            </w:r>
            <w:r>
              <w:rPr>
                <w:u w:val="single"/>
              </w:rPr>
              <w:t>:</w:t>
            </w:r>
          </w:p>
          <w:p w:rsidR="003D2FE4" w:rsidRDefault="00D461D5">
            <w:pPr>
              <w:jc w:val="both"/>
            </w:pPr>
            <w:r>
              <w:rPr>
                <w:u w:val="single"/>
              </w:rPr>
              <w:t>(1)</w:t>
            </w:r>
            <w:r>
              <w:t xml:space="preserve">  the construction and maintenance of fish hatcheries</w:t>
            </w:r>
            <w:r>
              <w:rPr>
                <w:u w:val="single"/>
              </w:rPr>
              <w:t>; and</w:t>
            </w:r>
          </w:p>
          <w:p w:rsidR="003D2FE4" w:rsidRDefault="00D461D5">
            <w:pPr>
              <w:jc w:val="both"/>
            </w:pPr>
            <w:r>
              <w:rPr>
                <w:u w:val="single"/>
              </w:rPr>
              <w:t>(2)  the enhancement, preservation, and restoration of fish habitats in rivers and streams</w:t>
            </w:r>
            <w:r>
              <w:t>.</w:t>
            </w:r>
          </w:p>
          <w:p w:rsidR="003D2FE4" w:rsidRDefault="003D2FE4">
            <w:pPr>
              <w:jc w:val="both"/>
            </w:pPr>
          </w:p>
        </w:tc>
        <w:tc>
          <w:tcPr>
            <w:tcW w:w="6480" w:type="dxa"/>
          </w:tcPr>
          <w:p w:rsidR="003D2FE4" w:rsidRDefault="00D461D5">
            <w:pPr>
              <w:jc w:val="both"/>
            </w:pPr>
            <w:r>
              <w:t>SECTION 1. Same as House version.</w:t>
            </w:r>
          </w:p>
          <w:p w:rsidR="003D2FE4" w:rsidRDefault="003D2FE4">
            <w:pPr>
              <w:jc w:val="both"/>
            </w:pPr>
          </w:p>
          <w:p w:rsidR="003D2FE4" w:rsidRDefault="003D2FE4">
            <w:pPr>
              <w:jc w:val="both"/>
            </w:pPr>
          </w:p>
        </w:tc>
        <w:tc>
          <w:tcPr>
            <w:tcW w:w="5760" w:type="dxa"/>
          </w:tcPr>
          <w:p w:rsidR="003D2FE4" w:rsidRDefault="003D2FE4">
            <w:pPr>
              <w:jc w:val="both"/>
            </w:pPr>
          </w:p>
        </w:tc>
      </w:tr>
      <w:tr w:rsidR="003D2FE4">
        <w:tc>
          <w:tcPr>
            <w:tcW w:w="6473" w:type="dxa"/>
          </w:tcPr>
          <w:p w:rsidR="003D2FE4" w:rsidRDefault="00D461D5">
            <w:pPr>
              <w:jc w:val="both"/>
            </w:pPr>
            <w:r w:rsidRPr="008B4038">
              <w:rPr>
                <w:highlight w:val="lightGray"/>
              </w:rPr>
              <w:t>No equivalent provision.</w:t>
            </w:r>
          </w:p>
          <w:p w:rsidR="003D2FE4" w:rsidRDefault="003D2FE4">
            <w:pPr>
              <w:jc w:val="both"/>
            </w:pPr>
          </w:p>
        </w:tc>
        <w:tc>
          <w:tcPr>
            <w:tcW w:w="6480" w:type="dxa"/>
          </w:tcPr>
          <w:p w:rsidR="003D2FE4" w:rsidRDefault="00D461D5">
            <w:pPr>
              <w:jc w:val="both"/>
            </w:pPr>
            <w:r>
              <w:t>SECTION __.  Chapter 86, Parks and Wildlife Code, is amended by adding Section 86.0192 to read as follows:</w:t>
            </w:r>
          </w:p>
          <w:p w:rsidR="003D2FE4" w:rsidRDefault="00D461D5">
            <w:pPr>
              <w:jc w:val="both"/>
            </w:pPr>
            <w:r>
              <w:rPr>
                <w:u w:val="single"/>
              </w:rPr>
              <w:t>Sec. 86.0192.  EXEMPTION FOR CERTAIN POLITICAL SUBDIVISIONS.  (a)  This section applies only to the following political subdivisions:</w:t>
            </w:r>
          </w:p>
          <w:p w:rsidR="003D2FE4" w:rsidRDefault="00D461D5">
            <w:pPr>
              <w:jc w:val="both"/>
            </w:pPr>
            <w:r>
              <w:rPr>
                <w:u w:val="single"/>
              </w:rPr>
              <w:t>(1)  San Jacinto River Authority; and</w:t>
            </w:r>
          </w:p>
          <w:p w:rsidR="003D2FE4" w:rsidRDefault="00D461D5">
            <w:pPr>
              <w:jc w:val="both"/>
            </w:pPr>
            <w:r>
              <w:rPr>
                <w:u w:val="single"/>
              </w:rPr>
              <w:t>(2)  Harris County Flood Control District.</w:t>
            </w:r>
          </w:p>
          <w:p w:rsidR="003D2FE4" w:rsidRDefault="00D461D5">
            <w:pPr>
              <w:jc w:val="both"/>
            </w:pPr>
            <w:r>
              <w:rPr>
                <w:u w:val="single"/>
              </w:rPr>
              <w:t>(b)  A political subdivision may take sand, gravel, marl, shell, and mudshell from the San Jacinto River and its tributaries to restore, maintain, or expand the capacity of the river and its tributaries to convey storm flows.</w:t>
            </w:r>
          </w:p>
          <w:p w:rsidR="003D2FE4" w:rsidRDefault="00D461D5">
            <w:pPr>
              <w:jc w:val="both"/>
            </w:pPr>
            <w:r>
              <w:rPr>
                <w:u w:val="single"/>
              </w:rPr>
              <w:lastRenderedPageBreak/>
              <w:t>(c)  A political subdivision acting under this section is not required to:</w:t>
            </w:r>
          </w:p>
          <w:p w:rsidR="003D2FE4" w:rsidRDefault="00D461D5">
            <w:pPr>
              <w:jc w:val="both"/>
            </w:pPr>
            <w:r>
              <w:rPr>
                <w:u w:val="single"/>
              </w:rPr>
              <w:t>(1)  obtain a permit or pay a fee to take sand, gravel, marl, shell, or mudshell under Subsection (b); or</w:t>
            </w:r>
          </w:p>
          <w:p w:rsidR="003D2FE4" w:rsidRDefault="00D461D5">
            <w:pPr>
              <w:jc w:val="both"/>
            </w:pPr>
            <w:r>
              <w:rPr>
                <w:u w:val="single"/>
              </w:rPr>
              <w:t>(2)  purchase sand, gravel, marl, shell, or mudshell taken under Subsection (b).</w:t>
            </w:r>
          </w:p>
          <w:p w:rsidR="003D2FE4" w:rsidRDefault="00D461D5">
            <w:pPr>
              <w:jc w:val="both"/>
            </w:pPr>
            <w:r>
              <w:rPr>
                <w:u w:val="single"/>
              </w:rPr>
              <w:t>(d)  A political subdivision acting under this section may deposit sand, gravel, marl, shell, or mudshell taken under Subsection (b) on private land.</w:t>
            </w:r>
            <w:r>
              <w:t xml:space="preserve">  [FA1]</w:t>
            </w:r>
          </w:p>
          <w:p w:rsidR="003D2FE4" w:rsidRDefault="003D2FE4">
            <w:pPr>
              <w:jc w:val="both"/>
            </w:pPr>
          </w:p>
        </w:tc>
        <w:tc>
          <w:tcPr>
            <w:tcW w:w="5760" w:type="dxa"/>
          </w:tcPr>
          <w:p w:rsidR="003D2FE4" w:rsidRDefault="003D2FE4">
            <w:pPr>
              <w:jc w:val="both"/>
            </w:pPr>
          </w:p>
        </w:tc>
      </w:tr>
      <w:tr w:rsidR="003D2FE4">
        <w:tc>
          <w:tcPr>
            <w:tcW w:w="6473" w:type="dxa"/>
          </w:tcPr>
          <w:p w:rsidR="003D2FE4" w:rsidRDefault="00D461D5">
            <w:pPr>
              <w:jc w:val="both"/>
            </w:pPr>
            <w:r>
              <w:t>SECTION 2.  This Act takes effect September 1, 2019.</w:t>
            </w:r>
          </w:p>
          <w:p w:rsidR="003D2FE4" w:rsidRDefault="003D2FE4">
            <w:pPr>
              <w:jc w:val="both"/>
            </w:pPr>
          </w:p>
        </w:tc>
        <w:tc>
          <w:tcPr>
            <w:tcW w:w="6480" w:type="dxa"/>
          </w:tcPr>
          <w:p w:rsidR="003D2FE4" w:rsidRDefault="00D461D5">
            <w:pPr>
              <w:jc w:val="both"/>
            </w:pPr>
            <w:r>
              <w:t>SECTION 2. Same as House version.</w:t>
            </w:r>
          </w:p>
          <w:p w:rsidR="003D2FE4" w:rsidRDefault="003D2FE4">
            <w:pPr>
              <w:jc w:val="both"/>
            </w:pPr>
          </w:p>
          <w:p w:rsidR="003D2FE4" w:rsidRDefault="003D2FE4">
            <w:pPr>
              <w:jc w:val="both"/>
            </w:pPr>
          </w:p>
        </w:tc>
        <w:tc>
          <w:tcPr>
            <w:tcW w:w="5760" w:type="dxa"/>
          </w:tcPr>
          <w:p w:rsidR="003D2FE4" w:rsidRDefault="003D2FE4">
            <w:pPr>
              <w:jc w:val="both"/>
            </w:pPr>
          </w:p>
        </w:tc>
      </w:tr>
    </w:tbl>
    <w:p w:rsidR="006B4E1F" w:rsidRDefault="006B4E1F"/>
    <w:sectPr w:rsidR="006B4E1F" w:rsidSect="003D2FE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E4" w:rsidRDefault="003D2FE4" w:rsidP="003D2FE4">
      <w:r>
        <w:separator/>
      </w:r>
    </w:p>
  </w:endnote>
  <w:endnote w:type="continuationSeparator" w:id="0">
    <w:p w:rsidR="003D2FE4" w:rsidRDefault="003D2FE4" w:rsidP="003D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23" w:rsidRDefault="003F4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E4" w:rsidRDefault="0019102C">
    <w:pPr>
      <w:tabs>
        <w:tab w:val="center" w:pos="9360"/>
        <w:tab w:val="right" w:pos="18720"/>
      </w:tabs>
    </w:pPr>
    <w:r>
      <w:fldChar w:fldCharType="begin"/>
    </w:r>
    <w:r>
      <w:instrText xml:space="preserve"> DOCPROPERTY  CCRF  \* MERGEFORMAT </w:instrText>
    </w:r>
    <w:r>
      <w:fldChar w:fldCharType="separate"/>
    </w:r>
    <w:r w:rsidR="0018214D">
      <w:t xml:space="preserve"> </w:t>
    </w:r>
    <w:r>
      <w:fldChar w:fldCharType="end"/>
    </w:r>
    <w:r w:rsidR="00D461D5">
      <w:tab/>
    </w:r>
    <w:r w:rsidR="003D2FE4">
      <w:fldChar w:fldCharType="begin"/>
    </w:r>
    <w:r w:rsidR="00D461D5">
      <w:instrText xml:space="preserve"> PAGE </w:instrText>
    </w:r>
    <w:r w:rsidR="003D2FE4">
      <w:fldChar w:fldCharType="separate"/>
    </w:r>
    <w:r>
      <w:rPr>
        <w:noProof/>
      </w:rPr>
      <w:t>2</w:t>
    </w:r>
    <w:r w:rsidR="003D2FE4">
      <w:fldChar w:fldCharType="end"/>
    </w:r>
    <w:r w:rsidR="00D461D5">
      <w:tab/>
    </w:r>
    <w:r w:rsidR="003B3C75">
      <w:fldChar w:fldCharType="begin"/>
    </w:r>
    <w:r w:rsidR="003B3C75">
      <w:instrText xml:space="preserve"> DOCPROPERTY  OTID  \* MERGEFORMAT </w:instrText>
    </w:r>
    <w:r w:rsidR="003B3C7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23" w:rsidRDefault="003F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E4" w:rsidRDefault="003D2FE4" w:rsidP="003D2FE4">
      <w:r>
        <w:separator/>
      </w:r>
    </w:p>
  </w:footnote>
  <w:footnote w:type="continuationSeparator" w:id="0">
    <w:p w:rsidR="003D2FE4" w:rsidRDefault="003D2FE4" w:rsidP="003D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23" w:rsidRDefault="003F4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23" w:rsidRDefault="003F4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23" w:rsidRDefault="003F4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E4"/>
    <w:rsid w:val="0018214D"/>
    <w:rsid w:val="0019102C"/>
    <w:rsid w:val="003B3C75"/>
    <w:rsid w:val="003D2FE4"/>
    <w:rsid w:val="003F4A23"/>
    <w:rsid w:val="006B4E1F"/>
    <w:rsid w:val="008B4038"/>
    <w:rsid w:val="00931380"/>
    <w:rsid w:val="00D461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E944-2F39-4486-89C5-6172CA1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E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A23"/>
    <w:pPr>
      <w:tabs>
        <w:tab w:val="center" w:pos="4680"/>
        <w:tab w:val="right" w:pos="9360"/>
      </w:tabs>
    </w:pPr>
  </w:style>
  <w:style w:type="character" w:customStyle="1" w:styleId="HeaderChar">
    <w:name w:val="Header Char"/>
    <w:basedOn w:val="DefaultParagraphFont"/>
    <w:link w:val="Header"/>
    <w:uiPriority w:val="99"/>
    <w:rsid w:val="003F4A23"/>
    <w:rPr>
      <w:sz w:val="22"/>
    </w:rPr>
  </w:style>
  <w:style w:type="paragraph" w:styleId="Footer">
    <w:name w:val="footer"/>
    <w:basedOn w:val="Normal"/>
    <w:link w:val="FooterChar"/>
    <w:uiPriority w:val="99"/>
    <w:unhideWhenUsed/>
    <w:rsid w:val="003F4A23"/>
    <w:pPr>
      <w:tabs>
        <w:tab w:val="center" w:pos="4680"/>
        <w:tab w:val="right" w:pos="9360"/>
      </w:tabs>
    </w:pPr>
  </w:style>
  <w:style w:type="character" w:customStyle="1" w:styleId="FooterChar">
    <w:name w:val="Footer Char"/>
    <w:basedOn w:val="DefaultParagraphFont"/>
    <w:link w:val="Footer"/>
    <w:uiPriority w:val="99"/>
    <w:rsid w:val="003F4A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HB1824-SAA</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HB1824-SAA</dc:title>
  <dc:subject/>
  <dc:creator>Hanna Brumbelow</dc:creator>
  <cp:keywords/>
  <dc:description/>
  <cp:lastModifiedBy>Hanna Brumbelow</cp:lastModifiedBy>
  <cp:revision>2</cp:revision>
  <dcterms:created xsi:type="dcterms:W3CDTF">2019-05-16T19:39:00Z</dcterms:created>
  <dcterms:modified xsi:type="dcterms:W3CDTF">2019-05-16T19:39:00Z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