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866A6" w:rsidTr="00E866A6">
        <w:trPr>
          <w:cantSplit/>
          <w:tblHeader/>
        </w:trPr>
        <w:tc>
          <w:tcPr>
            <w:tcW w:w="18713" w:type="dxa"/>
            <w:gridSpan w:val="3"/>
          </w:tcPr>
          <w:p w:rsidR="004B5368" w:rsidRDefault="00BD5410">
            <w:pPr>
              <w:ind w:left="650"/>
              <w:jc w:val="center"/>
            </w:pPr>
            <w:bookmarkStart w:id="0" w:name="_GoBack"/>
            <w:bookmarkEnd w:id="0"/>
            <w:r>
              <w:rPr>
                <w:b/>
              </w:rPr>
              <w:t>House Bill  1894</w:t>
            </w:r>
          </w:p>
          <w:p w:rsidR="004B5368" w:rsidRDefault="00BD5410">
            <w:pPr>
              <w:ind w:left="650"/>
              <w:jc w:val="center"/>
            </w:pPr>
            <w:r>
              <w:t>Senate Amendments</w:t>
            </w:r>
          </w:p>
          <w:p w:rsidR="004B5368" w:rsidRDefault="00BD5410">
            <w:pPr>
              <w:ind w:left="650"/>
              <w:jc w:val="center"/>
            </w:pPr>
            <w:r>
              <w:t>Section-by-Section Analysis</w:t>
            </w:r>
          </w:p>
          <w:p w:rsidR="004B5368" w:rsidRDefault="004B5368">
            <w:pPr>
              <w:jc w:val="center"/>
            </w:pPr>
          </w:p>
        </w:tc>
      </w:tr>
      <w:tr w:rsidR="004B5368">
        <w:trPr>
          <w:cantSplit/>
          <w:tblHeader/>
        </w:trPr>
        <w:tc>
          <w:tcPr>
            <w:tcW w:w="1667" w:type="pct"/>
            <w:tcMar>
              <w:bottom w:w="188" w:type="dxa"/>
              <w:right w:w="0" w:type="dxa"/>
            </w:tcMar>
          </w:tcPr>
          <w:p w:rsidR="004B5368" w:rsidRDefault="00BD5410">
            <w:pPr>
              <w:jc w:val="center"/>
            </w:pPr>
            <w:r>
              <w:t>HOUSE VERSION</w:t>
            </w:r>
          </w:p>
        </w:tc>
        <w:tc>
          <w:tcPr>
            <w:tcW w:w="1667" w:type="pct"/>
            <w:tcMar>
              <w:bottom w:w="188" w:type="dxa"/>
              <w:right w:w="0" w:type="dxa"/>
            </w:tcMar>
          </w:tcPr>
          <w:p w:rsidR="004B5368" w:rsidRDefault="00BD5410">
            <w:pPr>
              <w:jc w:val="center"/>
            </w:pPr>
            <w:r>
              <w:t>SENATE VERSION (CS)</w:t>
            </w:r>
          </w:p>
        </w:tc>
        <w:tc>
          <w:tcPr>
            <w:tcW w:w="1667" w:type="pct"/>
            <w:tcMar>
              <w:bottom w:w="188" w:type="dxa"/>
              <w:right w:w="0" w:type="dxa"/>
            </w:tcMar>
          </w:tcPr>
          <w:p w:rsidR="004B5368" w:rsidRDefault="00BD5410">
            <w:pPr>
              <w:jc w:val="center"/>
            </w:pPr>
            <w:r>
              <w:t>CONFERENCE</w:t>
            </w:r>
          </w:p>
        </w:tc>
      </w:tr>
      <w:tr w:rsidR="004B5368">
        <w:tc>
          <w:tcPr>
            <w:tcW w:w="6473" w:type="dxa"/>
          </w:tcPr>
          <w:p w:rsidR="004B5368" w:rsidRDefault="00BD5410">
            <w:pPr>
              <w:jc w:val="both"/>
            </w:pPr>
            <w:r>
              <w:t>SECTION 1.  Section 1051.451, Occupations Code, is amended to read as follows:</w:t>
            </w:r>
          </w:p>
          <w:p w:rsidR="004B5368" w:rsidRDefault="00BD5410">
            <w:pPr>
              <w:jc w:val="both"/>
            </w:pPr>
            <w:r>
              <w:t xml:space="preserve">Sec. 1051.451.  IMPOSITION OF ADMINISTRATIVE PENALTY.  </w:t>
            </w:r>
            <w:r>
              <w:rPr>
                <w:u w:val="single"/>
              </w:rPr>
              <w:t>(a) Except as provided by Subsection (b), the</w:t>
            </w:r>
            <w:r>
              <w:t xml:space="preserve"> [</w:t>
            </w:r>
            <w:r>
              <w:rPr>
                <w:strike/>
              </w:rPr>
              <w:t>The</w:t>
            </w:r>
            <w:r>
              <w:t>] board may impose an administrative penalty on a person who engages in conduct for which the person is subject to disciplinary action under this subtitle, regardless of whether the person holds a certificate of registration issued under this subtitle.</w:t>
            </w:r>
          </w:p>
          <w:p w:rsidR="004B5368" w:rsidRDefault="00BD5410">
            <w:pPr>
              <w:jc w:val="both"/>
            </w:pPr>
            <w:r>
              <w:rPr>
                <w:u w:val="single"/>
              </w:rPr>
              <w:t>(b)  The board may not impose an administrative penalty under this subtitle on a person for conduct related to the practice of interior design unless the person holds a certificate of registration as an interior designer.</w:t>
            </w:r>
          </w:p>
          <w:p w:rsidR="004B5368" w:rsidRDefault="004B5368">
            <w:pPr>
              <w:jc w:val="both"/>
            </w:pPr>
          </w:p>
        </w:tc>
        <w:tc>
          <w:tcPr>
            <w:tcW w:w="6480" w:type="dxa"/>
          </w:tcPr>
          <w:p w:rsidR="004B5368" w:rsidRPr="00E866A6" w:rsidRDefault="00BD5410">
            <w:pPr>
              <w:jc w:val="both"/>
              <w:rPr>
                <w:highlight w:val="lightGray"/>
              </w:rPr>
            </w:pPr>
            <w:r w:rsidRPr="00E866A6">
              <w:rPr>
                <w:highlight w:val="lightGray"/>
              </w:rPr>
              <w:t>No equivalent provision.</w:t>
            </w:r>
          </w:p>
          <w:p w:rsidR="004B5368" w:rsidRPr="00E866A6" w:rsidRDefault="004B5368">
            <w:pPr>
              <w:jc w:val="both"/>
              <w:rPr>
                <w:highlight w:val="lightGray"/>
              </w:rPr>
            </w:pPr>
          </w:p>
        </w:tc>
        <w:tc>
          <w:tcPr>
            <w:tcW w:w="5760" w:type="dxa"/>
          </w:tcPr>
          <w:p w:rsidR="004B5368" w:rsidRDefault="004B5368">
            <w:pPr>
              <w:jc w:val="both"/>
            </w:pPr>
          </w:p>
        </w:tc>
      </w:tr>
      <w:tr w:rsidR="004B5368">
        <w:tc>
          <w:tcPr>
            <w:tcW w:w="6473" w:type="dxa"/>
          </w:tcPr>
          <w:p w:rsidR="004B5368" w:rsidRDefault="00BD5410">
            <w:pPr>
              <w:jc w:val="both"/>
            </w:pPr>
            <w:r>
              <w:t>SECTION 2.  Section 1053.251(a), Occupations Code, is amended to read as follows:</w:t>
            </w:r>
          </w:p>
          <w:p w:rsidR="004B5368" w:rsidRDefault="00BD5410">
            <w:pPr>
              <w:jc w:val="both"/>
            </w:pPr>
            <w:r>
              <w:t>(a)  On a determination that a ground for disciplinary action exists under Section 1053.252, the board shall:</w:t>
            </w:r>
          </w:p>
          <w:p w:rsidR="004B5368" w:rsidRDefault="00BD5410">
            <w:pPr>
              <w:jc w:val="both"/>
            </w:pPr>
            <w:r>
              <w:t>(1)  revoke, suspend, or refuse to renew a certification of registration;</w:t>
            </w:r>
          </w:p>
          <w:p w:rsidR="004B5368" w:rsidRDefault="00BD5410">
            <w:pPr>
              <w:jc w:val="both"/>
            </w:pPr>
            <w:r>
              <w:t>(2)  reprimand a certificate holder; or</w:t>
            </w:r>
          </w:p>
          <w:p w:rsidR="004B5368" w:rsidRDefault="00BD5410">
            <w:pPr>
              <w:jc w:val="both"/>
            </w:pPr>
            <w:r>
              <w:t xml:space="preserve">(3)  impose an administrative penalty on a </w:t>
            </w:r>
            <w:r>
              <w:rPr>
                <w:u w:val="single"/>
              </w:rPr>
              <w:t>certificate holder</w:t>
            </w:r>
            <w:r>
              <w:t xml:space="preserve"> [</w:t>
            </w:r>
            <w:r>
              <w:rPr>
                <w:strike/>
              </w:rPr>
              <w:t>person</w:t>
            </w:r>
            <w:r>
              <w:t>] under Subchapter I, Chapter 1051.</w:t>
            </w:r>
          </w:p>
          <w:p w:rsidR="004B5368" w:rsidRDefault="004B5368">
            <w:pPr>
              <w:jc w:val="both"/>
            </w:pPr>
          </w:p>
        </w:tc>
        <w:tc>
          <w:tcPr>
            <w:tcW w:w="6480" w:type="dxa"/>
          </w:tcPr>
          <w:p w:rsidR="004B5368" w:rsidRDefault="00BD5410">
            <w:pPr>
              <w:jc w:val="both"/>
            </w:pPr>
            <w:r w:rsidRPr="00E866A6">
              <w:rPr>
                <w:highlight w:val="lightGray"/>
              </w:rPr>
              <w:t>No equivalent provision.</w:t>
            </w:r>
          </w:p>
          <w:p w:rsidR="004B5368" w:rsidRDefault="004B5368">
            <w:pPr>
              <w:jc w:val="both"/>
            </w:pPr>
          </w:p>
        </w:tc>
        <w:tc>
          <w:tcPr>
            <w:tcW w:w="5760" w:type="dxa"/>
          </w:tcPr>
          <w:p w:rsidR="004B5368" w:rsidRDefault="004B5368">
            <w:pPr>
              <w:jc w:val="both"/>
            </w:pPr>
          </w:p>
        </w:tc>
      </w:tr>
      <w:tr w:rsidR="004B5368">
        <w:tc>
          <w:tcPr>
            <w:tcW w:w="6473" w:type="dxa"/>
          </w:tcPr>
          <w:p w:rsidR="004B5368" w:rsidRDefault="00BD5410">
            <w:pPr>
              <w:jc w:val="both"/>
            </w:pPr>
            <w:r>
              <w:t>SECTION 3.  Subchapter H, Chapter 1053, Occupations Code, is repealed.</w:t>
            </w:r>
          </w:p>
          <w:p w:rsidR="004B5368" w:rsidRDefault="004B5368">
            <w:pPr>
              <w:jc w:val="both"/>
            </w:pPr>
          </w:p>
        </w:tc>
        <w:tc>
          <w:tcPr>
            <w:tcW w:w="6480" w:type="dxa"/>
          </w:tcPr>
          <w:p w:rsidR="004B5368" w:rsidRDefault="00BD5410">
            <w:pPr>
              <w:jc w:val="both"/>
            </w:pPr>
            <w:r>
              <w:t>SECTION 1. Same as House version.</w:t>
            </w:r>
          </w:p>
          <w:p w:rsidR="004B5368" w:rsidRDefault="004B5368">
            <w:pPr>
              <w:jc w:val="both"/>
            </w:pPr>
          </w:p>
          <w:p w:rsidR="004B5368" w:rsidRDefault="004B5368">
            <w:pPr>
              <w:jc w:val="both"/>
            </w:pPr>
          </w:p>
        </w:tc>
        <w:tc>
          <w:tcPr>
            <w:tcW w:w="5760" w:type="dxa"/>
          </w:tcPr>
          <w:p w:rsidR="004B5368" w:rsidRDefault="004B5368">
            <w:pPr>
              <w:jc w:val="both"/>
            </w:pPr>
          </w:p>
        </w:tc>
      </w:tr>
      <w:tr w:rsidR="004B5368">
        <w:tc>
          <w:tcPr>
            <w:tcW w:w="6473" w:type="dxa"/>
          </w:tcPr>
          <w:p w:rsidR="004B5368" w:rsidRDefault="00BD5410">
            <w:pPr>
              <w:jc w:val="both"/>
            </w:pPr>
            <w:r>
              <w:t xml:space="preserve">SECTION 4.  Sections 1051.451 and 1053.251(a), Occupations Code, as amended by this Act, apply only to the </w:t>
            </w:r>
            <w:r>
              <w:lastRenderedPageBreak/>
              <w:t>imposition of an administrative penalty for a violation that occurs on or after the effective date of this Act. The imposition of an administrative penalty for a violation that occurs before the effective date of this Act is governed by the law in effect on the date the violation occurred, and the former law is continued in effect for that purpose.</w:t>
            </w:r>
          </w:p>
          <w:p w:rsidR="004B5368" w:rsidRDefault="004B5368">
            <w:pPr>
              <w:jc w:val="both"/>
            </w:pPr>
          </w:p>
        </w:tc>
        <w:tc>
          <w:tcPr>
            <w:tcW w:w="6480" w:type="dxa"/>
          </w:tcPr>
          <w:p w:rsidR="004B5368" w:rsidRDefault="00BD5410">
            <w:pPr>
              <w:jc w:val="both"/>
            </w:pPr>
            <w:r w:rsidRPr="00E866A6">
              <w:rPr>
                <w:highlight w:val="lightGray"/>
              </w:rPr>
              <w:lastRenderedPageBreak/>
              <w:t>No equivalent provision.</w:t>
            </w:r>
          </w:p>
          <w:p w:rsidR="004B5368" w:rsidRDefault="004B5368">
            <w:pPr>
              <w:jc w:val="both"/>
            </w:pPr>
          </w:p>
        </w:tc>
        <w:tc>
          <w:tcPr>
            <w:tcW w:w="5760" w:type="dxa"/>
          </w:tcPr>
          <w:p w:rsidR="004B5368" w:rsidRDefault="004B5368">
            <w:pPr>
              <w:jc w:val="both"/>
            </w:pPr>
          </w:p>
        </w:tc>
      </w:tr>
      <w:tr w:rsidR="004B5368">
        <w:tc>
          <w:tcPr>
            <w:tcW w:w="6473" w:type="dxa"/>
          </w:tcPr>
          <w:p w:rsidR="004B5368" w:rsidRDefault="00BD5410">
            <w:pPr>
              <w:jc w:val="both"/>
            </w:pPr>
            <w:r>
              <w:t>SECTION 5.  The repeal by this Act of Subchapter H, Chapter 1053, Occupations Code, does not apply to an offense committed under that subchapter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4B5368" w:rsidRDefault="004B5368">
            <w:pPr>
              <w:jc w:val="both"/>
            </w:pPr>
          </w:p>
        </w:tc>
        <w:tc>
          <w:tcPr>
            <w:tcW w:w="6480" w:type="dxa"/>
          </w:tcPr>
          <w:p w:rsidR="004B5368" w:rsidRDefault="00BD5410">
            <w:pPr>
              <w:jc w:val="both"/>
            </w:pPr>
            <w:r>
              <w:t>SECTION 2. Same as House version.</w:t>
            </w:r>
          </w:p>
          <w:p w:rsidR="004B5368" w:rsidRDefault="004B5368">
            <w:pPr>
              <w:jc w:val="both"/>
            </w:pPr>
          </w:p>
          <w:p w:rsidR="004B5368" w:rsidRDefault="004B5368">
            <w:pPr>
              <w:jc w:val="both"/>
            </w:pPr>
          </w:p>
        </w:tc>
        <w:tc>
          <w:tcPr>
            <w:tcW w:w="5760" w:type="dxa"/>
          </w:tcPr>
          <w:p w:rsidR="004B5368" w:rsidRDefault="004B5368">
            <w:pPr>
              <w:jc w:val="both"/>
            </w:pPr>
          </w:p>
        </w:tc>
      </w:tr>
      <w:tr w:rsidR="004B5368">
        <w:tc>
          <w:tcPr>
            <w:tcW w:w="6473" w:type="dxa"/>
          </w:tcPr>
          <w:p w:rsidR="004B5368" w:rsidRDefault="00BD5410">
            <w:pPr>
              <w:jc w:val="both"/>
            </w:pPr>
            <w:r>
              <w:t>SECTION 6.  This Act takes effect September 1, 2019.</w:t>
            </w:r>
          </w:p>
          <w:p w:rsidR="004B5368" w:rsidRDefault="004B5368">
            <w:pPr>
              <w:jc w:val="both"/>
            </w:pPr>
          </w:p>
        </w:tc>
        <w:tc>
          <w:tcPr>
            <w:tcW w:w="6480" w:type="dxa"/>
          </w:tcPr>
          <w:p w:rsidR="004B5368" w:rsidRDefault="00BD5410">
            <w:pPr>
              <w:jc w:val="both"/>
            </w:pPr>
            <w:r>
              <w:t>SECTION 3. Same as House version.</w:t>
            </w:r>
          </w:p>
          <w:p w:rsidR="004B5368" w:rsidRDefault="004B5368">
            <w:pPr>
              <w:jc w:val="both"/>
            </w:pPr>
          </w:p>
          <w:p w:rsidR="004B5368" w:rsidRDefault="004B5368">
            <w:pPr>
              <w:jc w:val="both"/>
            </w:pPr>
          </w:p>
        </w:tc>
        <w:tc>
          <w:tcPr>
            <w:tcW w:w="5760" w:type="dxa"/>
          </w:tcPr>
          <w:p w:rsidR="004B5368" w:rsidRDefault="004B5368">
            <w:pPr>
              <w:jc w:val="both"/>
            </w:pPr>
          </w:p>
        </w:tc>
      </w:tr>
    </w:tbl>
    <w:p w:rsidR="00D54814" w:rsidRDefault="00D54814"/>
    <w:sectPr w:rsidR="00D54814" w:rsidSect="004B536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68" w:rsidRDefault="004B5368" w:rsidP="004B5368">
      <w:r>
        <w:separator/>
      </w:r>
    </w:p>
  </w:endnote>
  <w:endnote w:type="continuationSeparator" w:id="0">
    <w:p w:rsidR="004B5368" w:rsidRDefault="004B5368" w:rsidP="004B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DE" w:rsidRDefault="00F13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68" w:rsidRDefault="00A12256">
    <w:pPr>
      <w:tabs>
        <w:tab w:val="center" w:pos="9360"/>
        <w:tab w:val="right" w:pos="18720"/>
      </w:tabs>
    </w:pPr>
    <w:r>
      <w:fldChar w:fldCharType="begin"/>
    </w:r>
    <w:r>
      <w:instrText xml:space="preserve"> DOCPROPERTY  CCRF  \* MERGEFORMAT </w:instrText>
    </w:r>
    <w:r>
      <w:fldChar w:fldCharType="separate"/>
    </w:r>
    <w:r w:rsidR="007F31F8">
      <w:t xml:space="preserve"> </w:t>
    </w:r>
    <w:r>
      <w:fldChar w:fldCharType="end"/>
    </w:r>
    <w:r w:rsidR="00BD5410">
      <w:tab/>
    </w:r>
    <w:r w:rsidR="004B5368">
      <w:fldChar w:fldCharType="begin"/>
    </w:r>
    <w:r w:rsidR="00BD5410">
      <w:instrText xml:space="preserve"> PAGE </w:instrText>
    </w:r>
    <w:r w:rsidR="004B5368">
      <w:fldChar w:fldCharType="separate"/>
    </w:r>
    <w:r>
      <w:rPr>
        <w:noProof/>
      </w:rPr>
      <w:t>2</w:t>
    </w:r>
    <w:r w:rsidR="004B5368">
      <w:fldChar w:fldCharType="end"/>
    </w:r>
    <w:r w:rsidR="00BD5410">
      <w:tab/>
    </w:r>
    <w:r w:rsidR="00D851DF">
      <w:fldChar w:fldCharType="begin"/>
    </w:r>
    <w:r w:rsidR="00D851DF">
      <w:instrText xml:space="preserve"> DOCPROPERTY  OTID  \* MERGEFORMAT </w:instrText>
    </w:r>
    <w:r w:rsidR="00D851D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DE" w:rsidRDefault="00F1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68" w:rsidRDefault="004B5368" w:rsidP="004B5368">
      <w:r>
        <w:separator/>
      </w:r>
    </w:p>
  </w:footnote>
  <w:footnote w:type="continuationSeparator" w:id="0">
    <w:p w:rsidR="004B5368" w:rsidRDefault="004B5368" w:rsidP="004B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DE" w:rsidRDefault="00F13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DE" w:rsidRDefault="00F13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DE" w:rsidRDefault="00F136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68"/>
    <w:rsid w:val="004B5368"/>
    <w:rsid w:val="006A6067"/>
    <w:rsid w:val="007F31F8"/>
    <w:rsid w:val="00A12256"/>
    <w:rsid w:val="00BD5410"/>
    <w:rsid w:val="00D54814"/>
    <w:rsid w:val="00D851DF"/>
    <w:rsid w:val="00E866A6"/>
    <w:rsid w:val="00F136D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8DC7C-3C89-4C9D-A0A7-3D029131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6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DE"/>
    <w:pPr>
      <w:tabs>
        <w:tab w:val="center" w:pos="4680"/>
        <w:tab w:val="right" w:pos="9360"/>
      </w:tabs>
    </w:pPr>
  </w:style>
  <w:style w:type="character" w:customStyle="1" w:styleId="HeaderChar">
    <w:name w:val="Header Char"/>
    <w:basedOn w:val="DefaultParagraphFont"/>
    <w:link w:val="Header"/>
    <w:uiPriority w:val="99"/>
    <w:rsid w:val="00F136DE"/>
    <w:rPr>
      <w:sz w:val="22"/>
    </w:rPr>
  </w:style>
  <w:style w:type="paragraph" w:styleId="Footer">
    <w:name w:val="footer"/>
    <w:basedOn w:val="Normal"/>
    <w:link w:val="FooterChar"/>
    <w:uiPriority w:val="99"/>
    <w:unhideWhenUsed/>
    <w:rsid w:val="00F136DE"/>
    <w:pPr>
      <w:tabs>
        <w:tab w:val="center" w:pos="4680"/>
        <w:tab w:val="right" w:pos="9360"/>
      </w:tabs>
    </w:pPr>
  </w:style>
  <w:style w:type="character" w:customStyle="1" w:styleId="FooterChar">
    <w:name w:val="Footer Char"/>
    <w:basedOn w:val="DefaultParagraphFont"/>
    <w:link w:val="Footer"/>
    <w:uiPriority w:val="99"/>
    <w:rsid w:val="00F136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HB1894-SAA</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HB1894-SAA</dc:title>
  <dc:subject/>
  <dc:creator>Madeline Taylor</dc:creator>
  <cp:keywords/>
  <dc:description/>
  <cp:lastModifiedBy>Madeline Taylor</cp:lastModifiedBy>
  <cp:revision>2</cp:revision>
  <dcterms:created xsi:type="dcterms:W3CDTF">2019-05-15T16:29:00Z</dcterms:created>
  <dcterms:modified xsi:type="dcterms:W3CDTF">2019-05-15T16:29:00Z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