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AC3F70" w:rsidTr="00AC3F70">
        <w:trPr>
          <w:cantSplit/>
          <w:tblHeader/>
        </w:trPr>
        <w:tc>
          <w:tcPr>
            <w:tcW w:w="18713" w:type="dxa"/>
            <w:gridSpan w:val="3"/>
          </w:tcPr>
          <w:p w:rsidR="00A95EEE" w:rsidRDefault="007F6728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2199</w:t>
            </w:r>
          </w:p>
          <w:p w:rsidR="00A95EEE" w:rsidRDefault="007F6728">
            <w:pPr>
              <w:ind w:left="650"/>
              <w:jc w:val="center"/>
            </w:pPr>
            <w:r>
              <w:t>Senate Amendments</w:t>
            </w:r>
          </w:p>
          <w:p w:rsidR="00A95EEE" w:rsidRDefault="007F6728">
            <w:pPr>
              <w:ind w:left="650"/>
              <w:jc w:val="center"/>
            </w:pPr>
            <w:r>
              <w:t>Section-by-Section Analysis</w:t>
            </w:r>
          </w:p>
          <w:p w:rsidR="00A95EEE" w:rsidRDefault="00A95EEE">
            <w:pPr>
              <w:jc w:val="center"/>
            </w:pPr>
          </w:p>
        </w:tc>
      </w:tr>
      <w:tr w:rsidR="00A95EEE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A95EEE" w:rsidRDefault="007F6728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95EEE" w:rsidRDefault="007F6728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95EEE" w:rsidRDefault="007F6728">
            <w:pPr>
              <w:jc w:val="center"/>
            </w:pPr>
            <w:r>
              <w:t>CONFERENCE</w:t>
            </w:r>
          </w:p>
        </w:tc>
      </w:tr>
      <w:tr w:rsidR="00A95EEE">
        <w:tc>
          <w:tcPr>
            <w:tcW w:w="6473" w:type="dxa"/>
          </w:tcPr>
          <w:p w:rsidR="00A95EEE" w:rsidRDefault="007F6728">
            <w:pPr>
              <w:jc w:val="both"/>
            </w:pPr>
            <w:r>
              <w:t>SECTION 1.  Section 351.1066(a), Tax Code, is amended to read as follows:</w:t>
            </w:r>
          </w:p>
          <w:p w:rsidR="00A95EEE" w:rsidRDefault="007F6728">
            <w:pPr>
              <w:jc w:val="both"/>
            </w:pPr>
            <w:r>
              <w:t>(a)  This section applies only to:</w:t>
            </w:r>
          </w:p>
          <w:p w:rsidR="00A95EEE" w:rsidRDefault="007F6728">
            <w:pPr>
              <w:jc w:val="both"/>
            </w:pPr>
            <w:r>
              <w:t>(1)  a municipality with a population of at least 3,500 but less than 5,500 that is the county seat of a county with a population of less than 50,000 that borders a county with a population of more than 1.6 million;</w:t>
            </w:r>
          </w:p>
          <w:p w:rsidR="00A95EEE" w:rsidRDefault="007F6728">
            <w:pPr>
              <w:jc w:val="both"/>
            </w:pPr>
            <w:r>
              <w:t>(2)  a municipality with a population of at least 2,900 but less than 3,500 that is the county seat of a county with a population of less than 22,000 that is bordered by the Trinity River and includes a state park and a portion of a wildlife management area;</w:t>
            </w:r>
          </w:p>
          <w:p w:rsidR="00A95EEE" w:rsidRDefault="007F6728">
            <w:pPr>
              <w:jc w:val="both"/>
            </w:pPr>
            <w:r>
              <w:t>(3)  a municipality with a population of at least 7,500 that is located in a county that borders the Pecos River and that has a population of not more than 15,000;</w:t>
            </w:r>
          </w:p>
          <w:p w:rsidR="00A95EEE" w:rsidRDefault="007F6728">
            <w:pPr>
              <w:jc w:val="both"/>
            </w:pPr>
            <w:r>
              <w:t>(4)  a municipality with a population of not more than 5,000 that is located in a county through which the Frio River flows and an interstate highway crosses, and that has a population of at least 15,000; [</w:t>
            </w:r>
            <w:r>
              <w:rPr>
                <w:strike/>
              </w:rPr>
              <w:t>and</w:t>
            </w:r>
            <w:r>
              <w:t>]</w:t>
            </w:r>
          </w:p>
          <w:p w:rsidR="00A95EEE" w:rsidRDefault="007F6728">
            <w:pPr>
              <w:jc w:val="both"/>
            </w:pPr>
            <w:r>
              <w:t>(5)  a municipality with a population of not less than 7,500 that is located in a county with a population of not less than 40,000 but less than 250,000 that is adjacent to a county with a population of less than 750</w:t>
            </w:r>
            <w:r>
              <w:rPr>
                <w:u w:val="single"/>
              </w:rPr>
              <w:t xml:space="preserve">; </w:t>
            </w:r>
            <w:r w:rsidRPr="00250810">
              <w:rPr>
                <w:u w:val="single"/>
              </w:rPr>
              <w:t>and</w:t>
            </w:r>
          </w:p>
          <w:p w:rsidR="00A95EEE" w:rsidRDefault="007F6728">
            <w:pPr>
              <w:jc w:val="both"/>
            </w:pPr>
            <w:r>
              <w:rPr>
                <w:u w:val="single"/>
              </w:rPr>
              <w:t>(6)  a municipality that is the county seat of a county with a population of at least 8,500 and that county contains part of the Chaparral Wildlife Management Area</w:t>
            </w:r>
            <w:r>
              <w:t>.</w:t>
            </w:r>
          </w:p>
          <w:p w:rsidR="00A95EEE" w:rsidRDefault="00A95EEE">
            <w:pPr>
              <w:jc w:val="both"/>
            </w:pPr>
          </w:p>
        </w:tc>
        <w:tc>
          <w:tcPr>
            <w:tcW w:w="6480" w:type="dxa"/>
          </w:tcPr>
          <w:p w:rsidR="00A95EEE" w:rsidRDefault="007F6728">
            <w:pPr>
              <w:jc w:val="both"/>
            </w:pPr>
            <w:r>
              <w:t>SECTION 1.  Section 351.1066(a), Tax Code, is amended to read as follows:</w:t>
            </w:r>
          </w:p>
          <w:p w:rsidR="00A95EEE" w:rsidRDefault="007F6728">
            <w:pPr>
              <w:jc w:val="both"/>
            </w:pPr>
            <w:r>
              <w:t>(a)  This section applies only to:</w:t>
            </w:r>
          </w:p>
          <w:p w:rsidR="00A95EEE" w:rsidRDefault="007F6728">
            <w:pPr>
              <w:jc w:val="both"/>
            </w:pPr>
            <w:r>
              <w:t>(1)  a municipality with a population of at least 3,500 but less than 5,500 that is the county seat of a county with a population of less than 50,000 that borders a county with a population of more than 1.6 million;</w:t>
            </w:r>
          </w:p>
          <w:p w:rsidR="00A95EEE" w:rsidRDefault="007F6728">
            <w:pPr>
              <w:jc w:val="both"/>
            </w:pPr>
            <w:r>
              <w:t>(2)  a municipality with a population of at least 2,900 but less than 3,500 that is the county seat of a county with a population of less than 22,000 that is bordered by the Trinity River and includes a state park and a portion of a wildlife management area;</w:t>
            </w:r>
          </w:p>
          <w:p w:rsidR="00A95EEE" w:rsidRDefault="007F6728">
            <w:pPr>
              <w:jc w:val="both"/>
            </w:pPr>
            <w:r>
              <w:t>(3)  a municipality with a population of at least 7,500 that is located in a county that borders the Pecos River and that has a population of not more than 15,000;</w:t>
            </w:r>
          </w:p>
          <w:p w:rsidR="00A95EEE" w:rsidRDefault="007F6728">
            <w:pPr>
              <w:jc w:val="both"/>
            </w:pPr>
            <w:r>
              <w:t>(4)  a municipality with a population of not more than 5,000 that is located in a county through which the Frio River flows and an interstate highway crosses, and that has a population of at least 15,000; [</w:t>
            </w:r>
            <w:r>
              <w:rPr>
                <w:strike/>
              </w:rPr>
              <w:t>and</w:t>
            </w:r>
            <w:r>
              <w:t>]</w:t>
            </w:r>
          </w:p>
          <w:p w:rsidR="00A95EEE" w:rsidRDefault="007F6728">
            <w:pPr>
              <w:jc w:val="both"/>
            </w:pPr>
            <w:r>
              <w:t>(5)  a municipality with a population of not less than 7,500 that is located in a county with a population of not less than 40,000 but less than 250,000 that is adjacent to a county with a population of less than 750</w:t>
            </w:r>
            <w:r>
              <w:rPr>
                <w:u w:val="single"/>
              </w:rPr>
              <w:t>;</w:t>
            </w:r>
          </w:p>
          <w:p w:rsidR="00A95EEE" w:rsidRPr="00AC3F70" w:rsidRDefault="007F6728">
            <w:pPr>
              <w:jc w:val="both"/>
              <w:rPr>
                <w:highlight w:val="lightGray"/>
              </w:rPr>
            </w:pPr>
            <w:r>
              <w:rPr>
                <w:u w:val="single"/>
              </w:rPr>
              <w:t xml:space="preserve">(6)  a municipality that is the county seat of a county with a population of at least 8,500 and that county contains part of the Chaparral Wildlife Management Area; </w:t>
            </w:r>
            <w:r w:rsidRPr="00250810">
              <w:rPr>
                <w:u w:val="single"/>
              </w:rPr>
              <w:t>and</w:t>
            </w:r>
          </w:p>
          <w:p w:rsidR="00A95EEE" w:rsidRDefault="007F6728">
            <w:pPr>
              <w:jc w:val="both"/>
            </w:pPr>
            <w:r w:rsidRPr="00AC3F70">
              <w:rPr>
                <w:highlight w:val="lightGray"/>
                <w:u w:val="single"/>
              </w:rPr>
              <w:t>(7)  a municipality that has a population of not more than 25,000, that contains a cultural heritage museum, and that is located in a county that borders the United Mexican States and the Gulf of Mexico</w:t>
            </w:r>
            <w:r w:rsidRPr="00AC3F70">
              <w:rPr>
                <w:highlight w:val="lightGray"/>
              </w:rPr>
              <w:t>.</w:t>
            </w:r>
          </w:p>
          <w:p w:rsidR="00A95EEE" w:rsidRDefault="00A95EEE">
            <w:pPr>
              <w:jc w:val="both"/>
            </w:pPr>
          </w:p>
        </w:tc>
        <w:tc>
          <w:tcPr>
            <w:tcW w:w="5760" w:type="dxa"/>
          </w:tcPr>
          <w:p w:rsidR="00A95EEE" w:rsidRDefault="00A95EEE">
            <w:pPr>
              <w:jc w:val="both"/>
            </w:pPr>
          </w:p>
        </w:tc>
      </w:tr>
      <w:tr w:rsidR="00A95EEE">
        <w:tc>
          <w:tcPr>
            <w:tcW w:w="6473" w:type="dxa"/>
          </w:tcPr>
          <w:p w:rsidR="00A95EEE" w:rsidRDefault="007F6728">
            <w:pPr>
              <w:jc w:val="both"/>
            </w:pPr>
            <w:r>
              <w:lastRenderedPageBreak/>
              <w:t>SECTION 2.  This Act takes effect September 1, 2019.</w:t>
            </w:r>
          </w:p>
          <w:p w:rsidR="00A95EEE" w:rsidRDefault="00A95EEE">
            <w:pPr>
              <w:jc w:val="both"/>
            </w:pPr>
          </w:p>
        </w:tc>
        <w:tc>
          <w:tcPr>
            <w:tcW w:w="6480" w:type="dxa"/>
          </w:tcPr>
          <w:p w:rsidR="00A95EEE" w:rsidRDefault="007F6728">
            <w:pPr>
              <w:jc w:val="both"/>
            </w:pPr>
            <w:r>
              <w:t>SECTION 2. Same as House version.</w:t>
            </w:r>
          </w:p>
          <w:p w:rsidR="00A95EEE" w:rsidRDefault="00A95EEE">
            <w:pPr>
              <w:jc w:val="both"/>
            </w:pPr>
          </w:p>
          <w:p w:rsidR="00A95EEE" w:rsidRDefault="00A95EEE">
            <w:pPr>
              <w:jc w:val="both"/>
            </w:pPr>
          </w:p>
        </w:tc>
        <w:tc>
          <w:tcPr>
            <w:tcW w:w="5760" w:type="dxa"/>
          </w:tcPr>
          <w:p w:rsidR="00A95EEE" w:rsidRDefault="00A95EEE">
            <w:pPr>
              <w:jc w:val="both"/>
            </w:pPr>
          </w:p>
        </w:tc>
      </w:tr>
    </w:tbl>
    <w:p w:rsidR="00A34927" w:rsidRDefault="00A34927"/>
    <w:sectPr w:rsidR="00A34927" w:rsidSect="00A95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EE" w:rsidRDefault="00A95EEE" w:rsidP="00A95EEE">
      <w:r>
        <w:separator/>
      </w:r>
    </w:p>
  </w:endnote>
  <w:endnote w:type="continuationSeparator" w:id="0">
    <w:p w:rsidR="00A95EEE" w:rsidRDefault="00A95EEE" w:rsidP="00A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92" w:rsidRDefault="001D2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EE" w:rsidRDefault="006D445D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751FE0">
      <w:t xml:space="preserve"> </w:t>
    </w:r>
    <w:r>
      <w:fldChar w:fldCharType="end"/>
    </w:r>
    <w:r w:rsidR="007F6728">
      <w:tab/>
    </w:r>
    <w:r w:rsidR="00A95EEE">
      <w:fldChar w:fldCharType="begin"/>
    </w:r>
    <w:r w:rsidR="007F6728">
      <w:instrText xml:space="preserve"> PAGE </w:instrText>
    </w:r>
    <w:r w:rsidR="00A95EEE">
      <w:fldChar w:fldCharType="separate"/>
    </w:r>
    <w:r>
      <w:rPr>
        <w:noProof/>
      </w:rPr>
      <w:t>2</w:t>
    </w:r>
    <w:r w:rsidR="00A95EEE">
      <w:fldChar w:fldCharType="end"/>
    </w:r>
    <w:r w:rsidR="007F6728">
      <w:tab/>
    </w:r>
    <w:r w:rsidR="001B6AF9">
      <w:fldChar w:fldCharType="begin"/>
    </w:r>
    <w:r w:rsidR="001B6AF9">
      <w:instrText xml:space="preserve"> DOCPROPERTY  OTID  \* MERGEFORMAT </w:instrText>
    </w:r>
    <w:r w:rsidR="001B6AF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92" w:rsidRDefault="001D2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EE" w:rsidRDefault="00A95EEE" w:rsidP="00A95EEE">
      <w:r>
        <w:separator/>
      </w:r>
    </w:p>
  </w:footnote>
  <w:footnote w:type="continuationSeparator" w:id="0">
    <w:p w:rsidR="00A95EEE" w:rsidRDefault="00A95EEE" w:rsidP="00A9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92" w:rsidRDefault="001D2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92" w:rsidRDefault="001D2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92" w:rsidRDefault="001D2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EE"/>
    <w:rsid w:val="001B6AF9"/>
    <w:rsid w:val="001D2692"/>
    <w:rsid w:val="00250810"/>
    <w:rsid w:val="006D445D"/>
    <w:rsid w:val="007418AB"/>
    <w:rsid w:val="00751FE0"/>
    <w:rsid w:val="007F6728"/>
    <w:rsid w:val="00A34927"/>
    <w:rsid w:val="00A95EEE"/>
    <w:rsid w:val="00A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2BE04-C032-4CA5-92C3-CE41CF7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E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69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D2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9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HB2199-SAA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HB2199-SAA</dc:title>
  <dc:subject/>
  <dc:creator>Madeline Taylor</dc:creator>
  <cp:keywords/>
  <dc:description/>
  <cp:lastModifiedBy>Madeline Taylor</cp:lastModifiedBy>
  <cp:revision>2</cp:revision>
  <dcterms:created xsi:type="dcterms:W3CDTF">2019-05-21T14:12:00Z</dcterms:created>
  <dcterms:modified xsi:type="dcterms:W3CDTF">2019-05-21T14:12:00Z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