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42191" w:rsidTr="00E42191">
        <w:trPr>
          <w:cantSplit/>
          <w:tblHeader/>
        </w:trPr>
        <w:tc>
          <w:tcPr>
            <w:tcW w:w="18713" w:type="dxa"/>
            <w:gridSpan w:val="3"/>
          </w:tcPr>
          <w:p w:rsidR="00416909" w:rsidRDefault="0011463F">
            <w:pPr>
              <w:ind w:left="650"/>
              <w:jc w:val="center"/>
            </w:pPr>
            <w:bookmarkStart w:id="0" w:name="_GoBack"/>
            <w:bookmarkEnd w:id="0"/>
            <w:r>
              <w:rPr>
                <w:b/>
              </w:rPr>
              <w:t>House Bill  2363</w:t>
            </w:r>
          </w:p>
          <w:p w:rsidR="00416909" w:rsidRDefault="0011463F">
            <w:pPr>
              <w:ind w:left="650"/>
              <w:jc w:val="center"/>
            </w:pPr>
            <w:r>
              <w:t>Senate Amendments</w:t>
            </w:r>
          </w:p>
          <w:p w:rsidR="00416909" w:rsidRDefault="0011463F">
            <w:pPr>
              <w:ind w:left="650"/>
              <w:jc w:val="center"/>
            </w:pPr>
            <w:r>
              <w:t>Section-by-Section Analysis</w:t>
            </w:r>
          </w:p>
          <w:p w:rsidR="00416909" w:rsidRDefault="00416909">
            <w:pPr>
              <w:jc w:val="center"/>
            </w:pPr>
          </w:p>
        </w:tc>
      </w:tr>
      <w:tr w:rsidR="00416909">
        <w:trPr>
          <w:cantSplit/>
          <w:tblHeader/>
        </w:trPr>
        <w:tc>
          <w:tcPr>
            <w:tcW w:w="1667" w:type="pct"/>
            <w:tcMar>
              <w:bottom w:w="188" w:type="dxa"/>
              <w:right w:w="0" w:type="dxa"/>
            </w:tcMar>
          </w:tcPr>
          <w:p w:rsidR="00416909" w:rsidRDefault="0011463F">
            <w:pPr>
              <w:jc w:val="center"/>
            </w:pPr>
            <w:r>
              <w:t>HOUSE VERSION</w:t>
            </w:r>
          </w:p>
        </w:tc>
        <w:tc>
          <w:tcPr>
            <w:tcW w:w="1667" w:type="pct"/>
            <w:tcMar>
              <w:bottom w:w="188" w:type="dxa"/>
              <w:right w:w="0" w:type="dxa"/>
            </w:tcMar>
          </w:tcPr>
          <w:p w:rsidR="00416909" w:rsidRDefault="0011463F">
            <w:pPr>
              <w:jc w:val="center"/>
            </w:pPr>
            <w:r>
              <w:t>SENATE VERSION (CS)</w:t>
            </w:r>
          </w:p>
        </w:tc>
        <w:tc>
          <w:tcPr>
            <w:tcW w:w="1667" w:type="pct"/>
            <w:tcMar>
              <w:bottom w:w="188" w:type="dxa"/>
              <w:right w:w="0" w:type="dxa"/>
            </w:tcMar>
          </w:tcPr>
          <w:p w:rsidR="00416909" w:rsidRDefault="0011463F">
            <w:pPr>
              <w:jc w:val="center"/>
            </w:pPr>
            <w:r>
              <w:t>CONFERENCE</w:t>
            </w:r>
          </w:p>
        </w:tc>
      </w:tr>
      <w:tr w:rsidR="00416909">
        <w:tc>
          <w:tcPr>
            <w:tcW w:w="6473" w:type="dxa"/>
          </w:tcPr>
          <w:p w:rsidR="00416909" w:rsidRDefault="0011463F">
            <w:pPr>
              <w:jc w:val="both"/>
            </w:pPr>
            <w:r>
              <w:t>SECTION 1.  Section 42.042(e-1), Human Resources Code, is amended to read as follows:</w:t>
            </w:r>
          </w:p>
          <w:p w:rsidR="00416909" w:rsidRDefault="0011463F">
            <w:pPr>
              <w:jc w:val="both"/>
            </w:pPr>
            <w:r>
              <w:t xml:space="preserve">(e-1)  The </w:t>
            </w:r>
            <w:r>
              <w:rPr>
                <w:u w:val="single"/>
              </w:rPr>
              <w:t>commission</w:t>
            </w:r>
            <w:r>
              <w:t xml:space="preserve"> [</w:t>
            </w:r>
            <w:r>
              <w:rPr>
                <w:strike/>
              </w:rPr>
              <w:t>department</w:t>
            </w:r>
            <w:r>
              <w:t>] may not prohibit possession of lawfully permitted firearms and ammunition in an agency foster home.  Minimum standards may be adopted under this section relating to safety and proper storage of firearms and ammunition</w:t>
            </w:r>
            <w:r>
              <w:rPr>
                <w:u w:val="single"/>
              </w:rPr>
              <w:t>.  The minimum standards must allow</w:t>
            </w:r>
            <w:r>
              <w:t xml:space="preserve"> [</w:t>
            </w:r>
            <w:r>
              <w:rPr>
                <w:strike/>
              </w:rPr>
              <w:t>, including standards requiring</w:t>
            </w:r>
            <w:r>
              <w:t xml:space="preserve">] firearms and ammunition to be stored </w:t>
            </w:r>
            <w:r w:rsidRPr="00E42191">
              <w:rPr>
                <w:u w:val="single"/>
              </w:rPr>
              <w:t>together</w:t>
            </w:r>
            <w:r>
              <w:t xml:space="preserve"> </w:t>
            </w:r>
            <w:r w:rsidRPr="00E42191">
              <w:rPr>
                <w:highlight w:val="lightGray"/>
              </w:rPr>
              <w:t>[</w:t>
            </w:r>
            <w:r w:rsidRPr="00E42191">
              <w:rPr>
                <w:strike/>
                <w:highlight w:val="lightGray"/>
              </w:rPr>
              <w:t>separately</w:t>
            </w:r>
            <w:r w:rsidRPr="00E42191">
              <w:rPr>
                <w:highlight w:val="lightGray"/>
              </w:rPr>
              <w:t>]</w:t>
            </w:r>
            <w:r>
              <w:t xml:space="preserve"> in </w:t>
            </w:r>
            <w:r>
              <w:rPr>
                <w:u w:val="single"/>
              </w:rPr>
              <w:t>the same</w:t>
            </w:r>
            <w:r>
              <w:t xml:space="preserve"> locked </w:t>
            </w:r>
            <w:r>
              <w:rPr>
                <w:u w:val="single"/>
              </w:rPr>
              <w:t>location</w:t>
            </w:r>
            <w:r>
              <w:t xml:space="preserve"> [</w:t>
            </w:r>
            <w:r>
              <w:rPr>
                <w:strike/>
              </w:rPr>
              <w:t>locations</w:t>
            </w:r>
            <w:r>
              <w:t>].</w:t>
            </w:r>
          </w:p>
          <w:p w:rsidR="00416909" w:rsidRDefault="00416909">
            <w:pPr>
              <w:jc w:val="both"/>
            </w:pPr>
          </w:p>
        </w:tc>
        <w:tc>
          <w:tcPr>
            <w:tcW w:w="6480" w:type="dxa"/>
          </w:tcPr>
          <w:p w:rsidR="00416909" w:rsidRDefault="0011463F">
            <w:pPr>
              <w:jc w:val="both"/>
            </w:pPr>
            <w:r>
              <w:t>SECTION 1.  Section 42.042(e-1), Human Resources Code, is amended to read as follows:</w:t>
            </w:r>
          </w:p>
          <w:p w:rsidR="00416909" w:rsidRDefault="0011463F">
            <w:pPr>
              <w:jc w:val="both"/>
            </w:pPr>
            <w:r>
              <w:t xml:space="preserve">(e-1)  The </w:t>
            </w:r>
            <w:r>
              <w:rPr>
                <w:u w:val="single"/>
              </w:rPr>
              <w:t>commission</w:t>
            </w:r>
            <w:r>
              <w:t xml:space="preserve"> [</w:t>
            </w:r>
            <w:r>
              <w:rPr>
                <w:strike/>
              </w:rPr>
              <w:t>department</w:t>
            </w:r>
            <w:r>
              <w:t>] may not prohibit possession of lawfully permitted firearms and ammunition in an agency foster home.  Minimum standards may be adopted under this section relating to safety and proper storage of firearms and ammunition</w:t>
            </w:r>
            <w:r>
              <w:rPr>
                <w:u w:val="single"/>
              </w:rPr>
              <w:t>.  The minimum standards must allow</w:t>
            </w:r>
            <w:r>
              <w:t xml:space="preserve"> [</w:t>
            </w:r>
            <w:r>
              <w:rPr>
                <w:strike/>
              </w:rPr>
              <w:t>, including standards requiring</w:t>
            </w:r>
            <w:r>
              <w:t xml:space="preserve">] firearms and ammunition to be stored </w:t>
            </w:r>
            <w:r w:rsidRPr="00E42191">
              <w:rPr>
                <w:highlight w:val="lightGray"/>
              </w:rPr>
              <w:t xml:space="preserve">separately </w:t>
            </w:r>
            <w:r w:rsidRPr="00E42191">
              <w:rPr>
                <w:highlight w:val="lightGray"/>
                <w:u w:val="single"/>
              </w:rPr>
              <w:t>or stored</w:t>
            </w:r>
            <w:r w:rsidRPr="00D9242E">
              <w:rPr>
                <w:u w:val="single"/>
              </w:rPr>
              <w:t xml:space="preserve"> </w:t>
            </w:r>
            <w:r w:rsidRPr="00E42191">
              <w:rPr>
                <w:u w:val="single"/>
              </w:rPr>
              <w:t>together</w:t>
            </w:r>
            <w:r>
              <w:t xml:space="preserve"> in </w:t>
            </w:r>
            <w:r>
              <w:rPr>
                <w:u w:val="single"/>
              </w:rPr>
              <w:t>the same</w:t>
            </w:r>
            <w:r>
              <w:t xml:space="preserve"> locked </w:t>
            </w:r>
            <w:r>
              <w:rPr>
                <w:u w:val="single"/>
              </w:rPr>
              <w:t xml:space="preserve">location </w:t>
            </w:r>
            <w:r w:rsidRPr="00E42191">
              <w:rPr>
                <w:highlight w:val="lightGray"/>
                <w:u w:val="single"/>
              </w:rPr>
              <w:t>if the firearms are stored with a trigger locking device attached to the firearms</w:t>
            </w:r>
            <w:r>
              <w:t xml:space="preserve"> [</w:t>
            </w:r>
            <w:r>
              <w:rPr>
                <w:strike/>
              </w:rPr>
              <w:t>locations</w:t>
            </w:r>
            <w:r>
              <w:t>].</w:t>
            </w:r>
          </w:p>
          <w:p w:rsidR="00416909" w:rsidRDefault="00416909">
            <w:pPr>
              <w:jc w:val="both"/>
            </w:pPr>
          </w:p>
        </w:tc>
        <w:tc>
          <w:tcPr>
            <w:tcW w:w="5760" w:type="dxa"/>
          </w:tcPr>
          <w:p w:rsidR="00416909" w:rsidRDefault="00416909">
            <w:pPr>
              <w:jc w:val="both"/>
            </w:pPr>
          </w:p>
        </w:tc>
      </w:tr>
      <w:tr w:rsidR="00416909">
        <w:tc>
          <w:tcPr>
            <w:tcW w:w="6473" w:type="dxa"/>
          </w:tcPr>
          <w:p w:rsidR="00416909" w:rsidRDefault="0011463F">
            <w:pPr>
              <w:jc w:val="both"/>
            </w:pPr>
            <w:r>
              <w:t>SECTION 2.  This Act takes effect September 1, 2019.</w:t>
            </w:r>
          </w:p>
          <w:p w:rsidR="00416909" w:rsidRDefault="00416909">
            <w:pPr>
              <w:jc w:val="both"/>
            </w:pPr>
          </w:p>
        </w:tc>
        <w:tc>
          <w:tcPr>
            <w:tcW w:w="6480" w:type="dxa"/>
          </w:tcPr>
          <w:p w:rsidR="00416909" w:rsidRDefault="0011463F">
            <w:pPr>
              <w:jc w:val="both"/>
            </w:pPr>
            <w:r>
              <w:t>SECTION 2. Same as House version.</w:t>
            </w:r>
          </w:p>
          <w:p w:rsidR="00416909" w:rsidRDefault="00416909">
            <w:pPr>
              <w:jc w:val="both"/>
            </w:pPr>
          </w:p>
          <w:p w:rsidR="00416909" w:rsidRDefault="00416909">
            <w:pPr>
              <w:jc w:val="both"/>
            </w:pPr>
          </w:p>
        </w:tc>
        <w:tc>
          <w:tcPr>
            <w:tcW w:w="5760" w:type="dxa"/>
          </w:tcPr>
          <w:p w:rsidR="00416909" w:rsidRDefault="00416909">
            <w:pPr>
              <w:jc w:val="both"/>
            </w:pPr>
          </w:p>
        </w:tc>
      </w:tr>
    </w:tbl>
    <w:p w:rsidR="00990EE5" w:rsidRDefault="00990EE5"/>
    <w:sectPr w:rsidR="00990EE5" w:rsidSect="0041690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09" w:rsidRDefault="00416909" w:rsidP="00416909">
      <w:r>
        <w:separator/>
      </w:r>
    </w:p>
  </w:endnote>
  <w:endnote w:type="continuationSeparator" w:id="0">
    <w:p w:rsidR="00416909" w:rsidRDefault="00416909" w:rsidP="0041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10" w:rsidRDefault="0036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9" w:rsidRDefault="00C24064">
    <w:pPr>
      <w:tabs>
        <w:tab w:val="center" w:pos="9360"/>
        <w:tab w:val="right" w:pos="18720"/>
      </w:tabs>
    </w:pPr>
    <w:r>
      <w:fldChar w:fldCharType="begin"/>
    </w:r>
    <w:r>
      <w:instrText xml:space="preserve"> DOCPROPERTY  CCRF  \* MERGEFORMAT </w:instrText>
    </w:r>
    <w:r>
      <w:fldChar w:fldCharType="separate"/>
    </w:r>
    <w:r w:rsidR="005C08C1">
      <w:t xml:space="preserve"> </w:t>
    </w:r>
    <w:r>
      <w:fldChar w:fldCharType="end"/>
    </w:r>
    <w:r w:rsidR="0011463F">
      <w:tab/>
    </w:r>
    <w:r w:rsidR="00416909">
      <w:fldChar w:fldCharType="begin"/>
    </w:r>
    <w:r w:rsidR="0011463F">
      <w:instrText xml:space="preserve"> PAGE </w:instrText>
    </w:r>
    <w:r w:rsidR="00416909">
      <w:fldChar w:fldCharType="separate"/>
    </w:r>
    <w:r>
      <w:rPr>
        <w:noProof/>
      </w:rPr>
      <w:t>1</w:t>
    </w:r>
    <w:r w:rsidR="00416909">
      <w:fldChar w:fldCharType="end"/>
    </w:r>
    <w:r w:rsidR="0011463F">
      <w:tab/>
    </w:r>
    <w:r w:rsidR="008E3E3C">
      <w:fldChar w:fldCharType="begin"/>
    </w:r>
    <w:r w:rsidR="008E3E3C">
      <w:instrText xml:space="preserve"> DOCPROPERTY  OTID  \* MERGEFORMAT </w:instrText>
    </w:r>
    <w:r w:rsidR="008E3E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10" w:rsidRDefault="0036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09" w:rsidRDefault="00416909" w:rsidP="00416909">
      <w:r>
        <w:separator/>
      </w:r>
    </w:p>
  </w:footnote>
  <w:footnote w:type="continuationSeparator" w:id="0">
    <w:p w:rsidR="00416909" w:rsidRDefault="00416909" w:rsidP="0041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10" w:rsidRDefault="00365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10" w:rsidRDefault="00365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10" w:rsidRDefault="00365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09"/>
    <w:rsid w:val="0011463F"/>
    <w:rsid w:val="00365F10"/>
    <w:rsid w:val="00416909"/>
    <w:rsid w:val="005C08C1"/>
    <w:rsid w:val="008E3E3C"/>
    <w:rsid w:val="00990EE5"/>
    <w:rsid w:val="00C24064"/>
    <w:rsid w:val="00D9242E"/>
    <w:rsid w:val="00E4219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21C6C-FE9C-400E-AC4F-CCC48E92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10"/>
    <w:pPr>
      <w:tabs>
        <w:tab w:val="center" w:pos="4680"/>
        <w:tab w:val="right" w:pos="9360"/>
      </w:tabs>
    </w:pPr>
  </w:style>
  <w:style w:type="character" w:customStyle="1" w:styleId="HeaderChar">
    <w:name w:val="Header Char"/>
    <w:basedOn w:val="DefaultParagraphFont"/>
    <w:link w:val="Header"/>
    <w:uiPriority w:val="99"/>
    <w:rsid w:val="00365F10"/>
    <w:rPr>
      <w:sz w:val="22"/>
    </w:rPr>
  </w:style>
  <w:style w:type="paragraph" w:styleId="Footer">
    <w:name w:val="footer"/>
    <w:basedOn w:val="Normal"/>
    <w:link w:val="FooterChar"/>
    <w:uiPriority w:val="99"/>
    <w:unhideWhenUsed/>
    <w:rsid w:val="00365F10"/>
    <w:pPr>
      <w:tabs>
        <w:tab w:val="center" w:pos="4680"/>
        <w:tab w:val="right" w:pos="9360"/>
      </w:tabs>
    </w:pPr>
  </w:style>
  <w:style w:type="character" w:customStyle="1" w:styleId="FooterChar">
    <w:name w:val="Footer Char"/>
    <w:basedOn w:val="DefaultParagraphFont"/>
    <w:link w:val="Footer"/>
    <w:uiPriority w:val="99"/>
    <w:rsid w:val="00365F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HB2363-SAA</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HB2363-SAA</dc:title>
  <dc:subject/>
  <dc:creator>Hanna Brumbelow</dc:creator>
  <cp:keywords/>
  <dc:description/>
  <cp:lastModifiedBy>Hanna Brumbelow</cp:lastModifiedBy>
  <cp:revision>2</cp:revision>
  <dcterms:created xsi:type="dcterms:W3CDTF">2019-05-21T23:02:00Z</dcterms:created>
  <dcterms:modified xsi:type="dcterms:W3CDTF">2019-05-21T23:02:00Z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