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9F5C19" w:rsidTr="009F5C19">
        <w:trPr>
          <w:cantSplit/>
          <w:tblHeader/>
        </w:trPr>
        <w:tc>
          <w:tcPr>
            <w:tcW w:w="18713" w:type="dxa"/>
            <w:gridSpan w:val="3"/>
          </w:tcPr>
          <w:p w:rsidR="00470F96" w:rsidRDefault="00404BCB">
            <w:pPr>
              <w:ind w:left="650"/>
              <w:jc w:val="center"/>
            </w:pPr>
            <w:bookmarkStart w:id="0" w:name="_GoBack"/>
            <w:bookmarkEnd w:id="0"/>
            <w:r>
              <w:rPr>
                <w:b/>
              </w:rPr>
              <w:t>House Bill  2424</w:t>
            </w:r>
          </w:p>
          <w:p w:rsidR="00470F96" w:rsidRDefault="00404BCB">
            <w:pPr>
              <w:ind w:left="650"/>
              <w:jc w:val="center"/>
            </w:pPr>
            <w:r>
              <w:t>Senate Amendments</w:t>
            </w:r>
          </w:p>
          <w:p w:rsidR="00470F96" w:rsidRDefault="00404BCB" w:rsidP="00B54E1B">
            <w:pPr>
              <w:ind w:left="650"/>
              <w:jc w:val="center"/>
            </w:pPr>
            <w:r>
              <w:t>Section-by-Section Analysis</w:t>
            </w:r>
          </w:p>
        </w:tc>
      </w:tr>
      <w:tr w:rsidR="00470F96">
        <w:trPr>
          <w:cantSplit/>
          <w:tblHeader/>
        </w:trPr>
        <w:tc>
          <w:tcPr>
            <w:tcW w:w="1667" w:type="pct"/>
            <w:tcMar>
              <w:bottom w:w="188" w:type="dxa"/>
              <w:right w:w="0" w:type="dxa"/>
            </w:tcMar>
          </w:tcPr>
          <w:p w:rsidR="00470F96" w:rsidRDefault="00404BCB">
            <w:pPr>
              <w:jc w:val="center"/>
            </w:pPr>
            <w:r>
              <w:t>HOUSE VERSION</w:t>
            </w:r>
          </w:p>
        </w:tc>
        <w:tc>
          <w:tcPr>
            <w:tcW w:w="1667" w:type="pct"/>
            <w:tcMar>
              <w:bottom w:w="188" w:type="dxa"/>
              <w:right w:w="0" w:type="dxa"/>
            </w:tcMar>
          </w:tcPr>
          <w:p w:rsidR="00470F96" w:rsidRDefault="00404BCB">
            <w:pPr>
              <w:jc w:val="center"/>
            </w:pPr>
            <w:r>
              <w:t>SENATE VERSION (CS)</w:t>
            </w:r>
          </w:p>
        </w:tc>
        <w:tc>
          <w:tcPr>
            <w:tcW w:w="1667" w:type="pct"/>
            <w:tcMar>
              <w:bottom w:w="188" w:type="dxa"/>
              <w:right w:w="0" w:type="dxa"/>
            </w:tcMar>
          </w:tcPr>
          <w:p w:rsidR="00470F96" w:rsidRDefault="00404BCB">
            <w:pPr>
              <w:jc w:val="center"/>
            </w:pPr>
            <w:r>
              <w:t>CONFERENCE</w:t>
            </w:r>
          </w:p>
        </w:tc>
      </w:tr>
      <w:tr w:rsidR="00470F96">
        <w:tc>
          <w:tcPr>
            <w:tcW w:w="6473" w:type="dxa"/>
          </w:tcPr>
          <w:p w:rsidR="00470F96" w:rsidRDefault="00404BCB">
            <w:pPr>
              <w:jc w:val="both"/>
            </w:pPr>
            <w:r>
              <w:t>SECTION 1.  Section 21.054, Education Code, is amended by amending Subsection (a) and adding Subsection (</w:t>
            </w:r>
            <w:proofErr w:type="spellStart"/>
            <w:r>
              <w:t>i</w:t>
            </w:r>
            <w:proofErr w:type="spellEnd"/>
            <w:r>
              <w:t>) to read as follows:</w:t>
            </w:r>
          </w:p>
          <w:p w:rsidR="00470F96" w:rsidRDefault="00404BCB">
            <w:pPr>
              <w:jc w:val="both"/>
            </w:pPr>
            <w:r>
              <w:t>(a)  The board shall propose rules establishing a process for identifying continuing education courses and programs that fulfill educators' continuing education requirements</w:t>
            </w:r>
            <w:r>
              <w:rPr>
                <w:u w:val="single"/>
              </w:rPr>
              <w:t>, including opportunities for educators to receive micro-credentials in fields of study related to the educator's certification class as provided by Subsection (</w:t>
            </w:r>
            <w:proofErr w:type="spellStart"/>
            <w:r>
              <w:rPr>
                <w:u w:val="single"/>
              </w:rPr>
              <w:t>i</w:t>
            </w:r>
            <w:proofErr w:type="spellEnd"/>
            <w:r>
              <w:rPr>
                <w:u w:val="single"/>
              </w:rPr>
              <w:t>)</w:t>
            </w:r>
            <w:r>
              <w:t>.</w:t>
            </w:r>
          </w:p>
          <w:p w:rsidR="00470F96" w:rsidRDefault="00404BCB">
            <w:pPr>
              <w:jc w:val="both"/>
            </w:pPr>
            <w:r>
              <w:rPr>
                <w:u w:val="single"/>
              </w:rPr>
              <w:t>(</w:t>
            </w:r>
            <w:proofErr w:type="spellStart"/>
            <w:r>
              <w:rPr>
                <w:u w:val="single"/>
              </w:rPr>
              <w:t>i</w:t>
            </w:r>
            <w:proofErr w:type="spellEnd"/>
            <w:r>
              <w:rPr>
                <w:u w:val="single"/>
              </w:rPr>
              <w:t>)  The board shall propose rules establishing a program to issue micro-credentials in fields of study related to an educator's certification class.  The agency shall approve continuing education providers to offer micro-credential courses.  A micro-credential received by an educator shall be recorded on the agency's Educator Certification Online System (</w:t>
            </w:r>
            <w:proofErr w:type="spellStart"/>
            <w:r>
              <w:rPr>
                <w:u w:val="single"/>
              </w:rPr>
              <w:t>ECOS</w:t>
            </w:r>
            <w:proofErr w:type="spellEnd"/>
            <w:r>
              <w:rPr>
                <w:u w:val="single"/>
              </w:rPr>
              <w:t>) and included as part of the educator's public certification records.</w:t>
            </w:r>
          </w:p>
          <w:p w:rsidR="00470F96" w:rsidRDefault="00470F96">
            <w:pPr>
              <w:jc w:val="both"/>
            </w:pPr>
          </w:p>
        </w:tc>
        <w:tc>
          <w:tcPr>
            <w:tcW w:w="6480" w:type="dxa"/>
          </w:tcPr>
          <w:p w:rsidR="00470F96" w:rsidRDefault="00404BCB">
            <w:pPr>
              <w:jc w:val="both"/>
            </w:pPr>
            <w:r>
              <w:t>SECTION 1. Same as House version.</w:t>
            </w:r>
          </w:p>
          <w:p w:rsidR="00470F96" w:rsidRDefault="00470F96">
            <w:pPr>
              <w:jc w:val="both"/>
            </w:pPr>
          </w:p>
          <w:p w:rsidR="00470F96" w:rsidRDefault="00470F96">
            <w:pPr>
              <w:jc w:val="both"/>
            </w:pPr>
          </w:p>
        </w:tc>
        <w:tc>
          <w:tcPr>
            <w:tcW w:w="5760" w:type="dxa"/>
          </w:tcPr>
          <w:p w:rsidR="00470F96" w:rsidRDefault="00470F96">
            <w:pPr>
              <w:jc w:val="both"/>
            </w:pPr>
          </w:p>
        </w:tc>
      </w:tr>
      <w:tr w:rsidR="00470F96">
        <w:tc>
          <w:tcPr>
            <w:tcW w:w="6473" w:type="dxa"/>
          </w:tcPr>
          <w:p w:rsidR="00470F96" w:rsidRDefault="00404BCB">
            <w:pPr>
              <w:jc w:val="both"/>
            </w:pPr>
            <w:r w:rsidRPr="009F5C19">
              <w:rPr>
                <w:highlight w:val="lightGray"/>
              </w:rPr>
              <w:t>No equivalent provision.</w:t>
            </w:r>
          </w:p>
          <w:p w:rsidR="00470F96" w:rsidRDefault="00470F96">
            <w:pPr>
              <w:jc w:val="both"/>
            </w:pPr>
          </w:p>
        </w:tc>
        <w:tc>
          <w:tcPr>
            <w:tcW w:w="6480" w:type="dxa"/>
          </w:tcPr>
          <w:p w:rsidR="00470F96" w:rsidRDefault="00404BCB" w:rsidP="00224F26">
            <w:pPr>
              <w:jc w:val="both"/>
            </w:pPr>
            <w:r>
              <w:t>SECTION 2.  The Texas Education Agency is required to implement a provision of this Act only if the legislature appropriates money specifically for that purpose.  If the legislature does not appropriate money specifically for that purpose, the Texas Education Agency may, but is not required to, implement a provision of this Act using other appropriations available for that purpose.</w:t>
            </w:r>
          </w:p>
        </w:tc>
        <w:tc>
          <w:tcPr>
            <w:tcW w:w="5760" w:type="dxa"/>
          </w:tcPr>
          <w:p w:rsidR="00470F96" w:rsidRDefault="00470F96">
            <w:pPr>
              <w:jc w:val="both"/>
            </w:pPr>
          </w:p>
        </w:tc>
      </w:tr>
      <w:tr w:rsidR="00470F96">
        <w:tc>
          <w:tcPr>
            <w:tcW w:w="6473" w:type="dxa"/>
          </w:tcPr>
          <w:p w:rsidR="00470F96" w:rsidRDefault="00404BCB" w:rsidP="00B54E1B">
            <w:pPr>
              <w:jc w:val="both"/>
            </w:pPr>
            <w:r>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tc>
        <w:tc>
          <w:tcPr>
            <w:tcW w:w="6480" w:type="dxa"/>
          </w:tcPr>
          <w:p w:rsidR="00470F96" w:rsidRDefault="00404BCB">
            <w:pPr>
              <w:jc w:val="both"/>
            </w:pPr>
            <w:r>
              <w:t>SECTION 3. Same as House version.</w:t>
            </w:r>
          </w:p>
          <w:p w:rsidR="00470F96" w:rsidRDefault="00470F96">
            <w:pPr>
              <w:jc w:val="both"/>
            </w:pPr>
          </w:p>
          <w:p w:rsidR="00470F96" w:rsidRDefault="00470F96">
            <w:pPr>
              <w:jc w:val="both"/>
            </w:pPr>
          </w:p>
        </w:tc>
        <w:tc>
          <w:tcPr>
            <w:tcW w:w="5760" w:type="dxa"/>
          </w:tcPr>
          <w:p w:rsidR="00470F96" w:rsidRDefault="00470F96">
            <w:pPr>
              <w:jc w:val="both"/>
            </w:pPr>
          </w:p>
        </w:tc>
      </w:tr>
    </w:tbl>
    <w:p w:rsidR="004A1CEB" w:rsidRDefault="004A1CEB"/>
    <w:sectPr w:rsidR="004A1CEB" w:rsidSect="00470F96">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F96" w:rsidRDefault="00470F96" w:rsidP="00470F96">
      <w:r>
        <w:separator/>
      </w:r>
    </w:p>
  </w:endnote>
  <w:endnote w:type="continuationSeparator" w:id="0">
    <w:p w:rsidR="00470F96" w:rsidRDefault="00470F96" w:rsidP="00470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112" w:rsidRDefault="00FA51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F96" w:rsidRDefault="00E12C6B">
    <w:pPr>
      <w:tabs>
        <w:tab w:val="center" w:pos="9360"/>
        <w:tab w:val="right" w:pos="18720"/>
      </w:tabs>
    </w:pPr>
    <w:r>
      <w:fldChar w:fldCharType="begin"/>
    </w:r>
    <w:r>
      <w:instrText xml:space="preserve"> DOCPROPERTY  CCRF  \* MERGEFORMAT </w:instrText>
    </w:r>
    <w:r>
      <w:fldChar w:fldCharType="separate"/>
    </w:r>
    <w:r w:rsidR="00015F01">
      <w:t xml:space="preserve"> </w:t>
    </w:r>
    <w:r>
      <w:fldChar w:fldCharType="end"/>
    </w:r>
    <w:r w:rsidR="00404BCB">
      <w:tab/>
    </w:r>
    <w:r w:rsidR="00470F96">
      <w:fldChar w:fldCharType="begin"/>
    </w:r>
    <w:r w:rsidR="00404BCB">
      <w:instrText xml:space="preserve"> PAGE </w:instrText>
    </w:r>
    <w:r w:rsidR="00470F96">
      <w:fldChar w:fldCharType="separate"/>
    </w:r>
    <w:r>
      <w:rPr>
        <w:noProof/>
      </w:rPr>
      <w:t>1</w:t>
    </w:r>
    <w:r w:rsidR="00470F96">
      <w:fldChar w:fldCharType="end"/>
    </w:r>
    <w:r w:rsidR="00404BCB">
      <w:tab/>
    </w:r>
    <w:r w:rsidR="006B40D2">
      <w:fldChar w:fldCharType="begin"/>
    </w:r>
    <w:r w:rsidR="006B40D2">
      <w:instrText xml:space="preserve"> DOCPROPERTY  OTID  \* MERGEFORMAT </w:instrText>
    </w:r>
    <w:r w:rsidR="006B40D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112" w:rsidRDefault="00FA5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F96" w:rsidRDefault="00470F96" w:rsidP="00470F96">
      <w:r>
        <w:separator/>
      </w:r>
    </w:p>
  </w:footnote>
  <w:footnote w:type="continuationSeparator" w:id="0">
    <w:p w:rsidR="00470F96" w:rsidRDefault="00470F96" w:rsidP="00470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112" w:rsidRDefault="00FA51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112" w:rsidRDefault="00FA51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112" w:rsidRDefault="00FA51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F96"/>
    <w:rsid w:val="00015F01"/>
    <w:rsid w:val="00224F26"/>
    <w:rsid w:val="00404BCB"/>
    <w:rsid w:val="00470F96"/>
    <w:rsid w:val="004A1CEB"/>
    <w:rsid w:val="006B40D2"/>
    <w:rsid w:val="009F5C19"/>
    <w:rsid w:val="00B54E1B"/>
    <w:rsid w:val="00D93997"/>
    <w:rsid w:val="00E12C6B"/>
    <w:rsid w:val="00E3613D"/>
    <w:rsid w:val="00FA5112"/>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C9551D-5B44-4FAA-99B5-8145ABB43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F9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112"/>
    <w:pPr>
      <w:tabs>
        <w:tab w:val="center" w:pos="4680"/>
        <w:tab w:val="right" w:pos="9360"/>
      </w:tabs>
    </w:pPr>
  </w:style>
  <w:style w:type="character" w:customStyle="1" w:styleId="HeaderChar">
    <w:name w:val="Header Char"/>
    <w:basedOn w:val="DefaultParagraphFont"/>
    <w:link w:val="Header"/>
    <w:uiPriority w:val="99"/>
    <w:rsid w:val="00FA5112"/>
    <w:rPr>
      <w:sz w:val="22"/>
    </w:rPr>
  </w:style>
  <w:style w:type="paragraph" w:styleId="Footer">
    <w:name w:val="footer"/>
    <w:basedOn w:val="Normal"/>
    <w:link w:val="FooterChar"/>
    <w:uiPriority w:val="99"/>
    <w:unhideWhenUsed/>
    <w:rsid w:val="00FA5112"/>
    <w:pPr>
      <w:tabs>
        <w:tab w:val="center" w:pos="4680"/>
        <w:tab w:val="right" w:pos="9360"/>
      </w:tabs>
    </w:pPr>
  </w:style>
  <w:style w:type="character" w:customStyle="1" w:styleId="FooterChar">
    <w:name w:val="Footer Char"/>
    <w:basedOn w:val="DefaultParagraphFont"/>
    <w:link w:val="Footer"/>
    <w:uiPriority w:val="99"/>
    <w:rsid w:val="00FA511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HB2424-SAA</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HB2424-SAA</dc:title>
  <dc:subject/>
  <dc:creator>Madeline Taylor</dc:creator>
  <cp:keywords/>
  <dc:description/>
  <cp:lastModifiedBy>Madeline Taylor</cp:lastModifiedBy>
  <cp:revision>2</cp:revision>
  <dcterms:created xsi:type="dcterms:W3CDTF">2019-05-19T22:25:00Z</dcterms:created>
  <dcterms:modified xsi:type="dcterms:W3CDTF">2019-05-19T22:25:00Z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