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20" w:type="pct"/>
        <w:tblInd w:w="6" w:type="dxa"/>
        <w:tblLayout w:type="fixed"/>
        <w:tblCellMar>
          <w:left w:w="0" w:type="dxa"/>
          <w:bottom w:w="288" w:type="dxa"/>
          <w:right w:w="720" w:type="dxa"/>
        </w:tblCellMar>
        <w:tblLook w:val="01E0" w:firstRow="1" w:lastRow="1" w:firstColumn="1" w:lastColumn="1" w:noHBand="0" w:noVBand="0"/>
      </w:tblPr>
      <w:tblGrid>
        <w:gridCol w:w="6016"/>
        <w:gridCol w:w="6017"/>
        <w:gridCol w:w="6013"/>
      </w:tblGrid>
      <w:tr w:rsidR="007F0D29" w:rsidTr="007F0D29">
        <w:trPr>
          <w:cantSplit/>
          <w:tblHeader/>
        </w:trPr>
        <w:tc>
          <w:tcPr>
            <w:tcW w:w="18713" w:type="dxa"/>
            <w:gridSpan w:val="3"/>
          </w:tcPr>
          <w:p w:rsidR="006F2599" w:rsidRDefault="007E6356">
            <w:pPr>
              <w:ind w:left="650"/>
              <w:jc w:val="center"/>
            </w:pPr>
            <w:bookmarkStart w:id="0" w:name="_GoBack"/>
            <w:bookmarkEnd w:id="0"/>
            <w:r>
              <w:rPr>
                <w:b/>
              </w:rPr>
              <w:t>House Bill  2757</w:t>
            </w:r>
          </w:p>
          <w:p w:rsidR="006F2599" w:rsidRDefault="007E6356">
            <w:pPr>
              <w:ind w:left="650"/>
              <w:jc w:val="center"/>
            </w:pPr>
            <w:r>
              <w:t>Senate Amendments</w:t>
            </w:r>
          </w:p>
          <w:p w:rsidR="006F2599" w:rsidRDefault="007E6356">
            <w:pPr>
              <w:ind w:left="650"/>
              <w:jc w:val="center"/>
            </w:pPr>
            <w:r>
              <w:t>Section-by-Section Analysis</w:t>
            </w:r>
          </w:p>
          <w:p w:rsidR="006F2599" w:rsidRDefault="006F2599">
            <w:pPr>
              <w:jc w:val="center"/>
            </w:pPr>
          </w:p>
        </w:tc>
      </w:tr>
      <w:tr w:rsidR="006F2599">
        <w:trPr>
          <w:cantSplit/>
          <w:tblHeader/>
        </w:trPr>
        <w:tc>
          <w:tcPr>
            <w:tcW w:w="1667" w:type="pct"/>
            <w:tcMar>
              <w:bottom w:w="188" w:type="dxa"/>
              <w:right w:w="0" w:type="dxa"/>
            </w:tcMar>
          </w:tcPr>
          <w:p w:rsidR="006F2599" w:rsidRDefault="007E6356">
            <w:pPr>
              <w:jc w:val="center"/>
            </w:pPr>
            <w:r>
              <w:t>HOUSE VERSION</w:t>
            </w:r>
          </w:p>
        </w:tc>
        <w:tc>
          <w:tcPr>
            <w:tcW w:w="1667" w:type="pct"/>
            <w:tcMar>
              <w:bottom w:w="188" w:type="dxa"/>
              <w:right w:w="0" w:type="dxa"/>
            </w:tcMar>
          </w:tcPr>
          <w:p w:rsidR="006F2599" w:rsidRDefault="007E6356">
            <w:pPr>
              <w:jc w:val="center"/>
            </w:pPr>
            <w:r>
              <w:t>SENATE VERSION (CS)</w:t>
            </w:r>
          </w:p>
        </w:tc>
        <w:tc>
          <w:tcPr>
            <w:tcW w:w="1667" w:type="pct"/>
            <w:tcMar>
              <w:bottom w:w="188" w:type="dxa"/>
              <w:right w:w="0" w:type="dxa"/>
            </w:tcMar>
          </w:tcPr>
          <w:p w:rsidR="006F2599" w:rsidRDefault="007E6356">
            <w:pPr>
              <w:jc w:val="center"/>
            </w:pPr>
            <w:r>
              <w:t>CONFERENCE</w:t>
            </w:r>
          </w:p>
        </w:tc>
      </w:tr>
      <w:tr w:rsidR="006F2599">
        <w:tc>
          <w:tcPr>
            <w:tcW w:w="6473" w:type="dxa"/>
          </w:tcPr>
          <w:p w:rsidR="006F2599" w:rsidRDefault="007E6356">
            <w:pPr>
              <w:jc w:val="both"/>
            </w:pPr>
            <w:r>
              <w:t>SECTION 1.  Section 5.001, Civil Practice and Remedies Code, is amended to read as follows:</w:t>
            </w:r>
          </w:p>
          <w:p w:rsidR="006F2599" w:rsidRDefault="007E6356">
            <w:pPr>
              <w:jc w:val="both"/>
            </w:pPr>
            <w:r>
              <w:t xml:space="preserve">Sec. 5.001.  RULE OF DECISION.  </w:t>
            </w:r>
            <w:r>
              <w:rPr>
                <w:u w:val="single"/>
              </w:rPr>
              <w:t>(a)</w:t>
            </w:r>
            <w:r>
              <w:t xml:space="preserve">  The rule of decision in this state consists of those portions of the common law of England that are not inconsistent with the constitution or the laws of this state, the </w:t>
            </w:r>
            <w:r w:rsidRPr="007F0D29">
              <w:rPr>
                <w:highlight w:val="lightGray"/>
                <w:u w:val="single"/>
              </w:rPr>
              <w:t>constitutions</w:t>
            </w:r>
            <w:r w:rsidRPr="007F0D29">
              <w:rPr>
                <w:highlight w:val="lightGray"/>
              </w:rPr>
              <w:t xml:space="preserve"> [</w:t>
            </w:r>
            <w:r w:rsidRPr="007F0D29">
              <w:rPr>
                <w:strike/>
                <w:highlight w:val="lightGray"/>
              </w:rPr>
              <w:t>constitution</w:t>
            </w:r>
            <w:r w:rsidRPr="007F0D29">
              <w:rPr>
                <w:highlight w:val="lightGray"/>
              </w:rPr>
              <w:t>]</w:t>
            </w:r>
            <w:r>
              <w:t xml:space="preserve"> of this state </w:t>
            </w:r>
            <w:r w:rsidRPr="007F0D29">
              <w:rPr>
                <w:highlight w:val="lightGray"/>
                <w:u w:val="single"/>
              </w:rPr>
              <w:t>and of the United States</w:t>
            </w:r>
            <w:r w:rsidRPr="007F0D29">
              <w:rPr>
                <w:highlight w:val="lightGray"/>
              </w:rPr>
              <w:t>, [</w:t>
            </w:r>
            <w:r w:rsidRPr="007F0D29">
              <w:rPr>
                <w:strike/>
                <w:highlight w:val="lightGray"/>
              </w:rPr>
              <w:t>and</w:t>
            </w:r>
            <w:r w:rsidRPr="007F0D29">
              <w:rPr>
                <w:highlight w:val="lightGray"/>
              </w:rPr>
              <w:t>]</w:t>
            </w:r>
            <w:r>
              <w:t xml:space="preserve"> the laws </w:t>
            </w:r>
            <w:r w:rsidRPr="007F0D29">
              <w:t>of this state</w:t>
            </w:r>
            <w:r w:rsidRPr="007F0D29">
              <w:rPr>
                <w:u w:val="single"/>
              </w:rPr>
              <w:t xml:space="preserve">, </w:t>
            </w:r>
            <w:r w:rsidRPr="007F0D29">
              <w:rPr>
                <w:highlight w:val="lightGray"/>
                <w:u w:val="single"/>
              </w:rPr>
              <w:t>and case law precedents set by a court of this state</w:t>
            </w:r>
            <w:r w:rsidRPr="007F0D29">
              <w:rPr>
                <w:highlight w:val="lightGray"/>
              </w:rPr>
              <w:t>.</w:t>
            </w:r>
          </w:p>
          <w:p w:rsidR="006F2599" w:rsidRDefault="007E6356">
            <w:pPr>
              <w:jc w:val="both"/>
            </w:pPr>
            <w:r>
              <w:rPr>
                <w:u w:val="single"/>
              </w:rPr>
              <w:t>(b)  In any action governed by the laws of this state concerning rights and obligations under the law, the American Law Institute's Restatements of the Law are not controlling.</w:t>
            </w:r>
          </w:p>
          <w:p w:rsidR="006F2599" w:rsidRDefault="006F2599">
            <w:pPr>
              <w:jc w:val="both"/>
            </w:pPr>
          </w:p>
        </w:tc>
        <w:tc>
          <w:tcPr>
            <w:tcW w:w="6480" w:type="dxa"/>
          </w:tcPr>
          <w:p w:rsidR="006F2599" w:rsidRDefault="007E6356">
            <w:pPr>
              <w:jc w:val="both"/>
            </w:pPr>
            <w:r>
              <w:t>SECTION 1.  Section 5.001, Civil Practice and Remedies Code, is amended to read as follows:</w:t>
            </w:r>
          </w:p>
          <w:p w:rsidR="006F2599" w:rsidRDefault="007E6356">
            <w:pPr>
              <w:jc w:val="both"/>
            </w:pPr>
            <w:r>
              <w:t xml:space="preserve">Sec. 5.001.  RULE OF DECISION.  </w:t>
            </w:r>
            <w:r>
              <w:rPr>
                <w:u w:val="single"/>
              </w:rPr>
              <w:t>(a)</w:t>
            </w:r>
            <w:r>
              <w:t xml:space="preserve">  The rule of decision in this state consists of those portions of the common law of England that are not inconsistent with the constitution or the laws of this state, the constitution of this state, and the laws of this state.</w:t>
            </w:r>
          </w:p>
          <w:p w:rsidR="007F0D29" w:rsidRDefault="007F0D29">
            <w:pPr>
              <w:jc w:val="both"/>
              <w:rPr>
                <w:u w:val="single"/>
              </w:rPr>
            </w:pPr>
          </w:p>
          <w:p w:rsidR="006F2599" w:rsidRDefault="007E6356">
            <w:pPr>
              <w:jc w:val="both"/>
            </w:pPr>
            <w:r>
              <w:rPr>
                <w:u w:val="single"/>
              </w:rPr>
              <w:t>(b)  In any action governed by the laws of this state concerning rights and obligations under the law, the American Law Institute's Restatements of the Law are not controlling.</w:t>
            </w:r>
          </w:p>
          <w:p w:rsidR="006F2599" w:rsidRDefault="006F2599">
            <w:pPr>
              <w:jc w:val="both"/>
            </w:pPr>
          </w:p>
        </w:tc>
        <w:tc>
          <w:tcPr>
            <w:tcW w:w="5760" w:type="dxa"/>
          </w:tcPr>
          <w:p w:rsidR="006F2599" w:rsidRDefault="006F2599">
            <w:pPr>
              <w:jc w:val="both"/>
            </w:pPr>
          </w:p>
        </w:tc>
      </w:tr>
      <w:tr w:rsidR="006F2599">
        <w:tc>
          <w:tcPr>
            <w:tcW w:w="6473" w:type="dxa"/>
          </w:tcPr>
          <w:p w:rsidR="006F2599" w:rsidRDefault="007E6356">
            <w:pPr>
              <w:jc w:val="both"/>
            </w:pPr>
            <w:r>
              <w:t>SECTION 2.  This Act takes effect September 1, 2019.</w:t>
            </w:r>
          </w:p>
          <w:p w:rsidR="006F2599" w:rsidRDefault="006F2599">
            <w:pPr>
              <w:jc w:val="both"/>
            </w:pPr>
          </w:p>
        </w:tc>
        <w:tc>
          <w:tcPr>
            <w:tcW w:w="6480" w:type="dxa"/>
          </w:tcPr>
          <w:p w:rsidR="006F2599" w:rsidRDefault="007E6356">
            <w:pPr>
              <w:jc w:val="both"/>
            </w:pPr>
            <w:r>
              <w:t>SECTION 2. Same as House version.</w:t>
            </w:r>
          </w:p>
          <w:p w:rsidR="006F2599" w:rsidRDefault="006F2599">
            <w:pPr>
              <w:jc w:val="both"/>
            </w:pPr>
          </w:p>
          <w:p w:rsidR="006F2599" w:rsidRDefault="006F2599">
            <w:pPr>
              <w:jc w:val="both"/>
            </w:pPr>
          </w:p>
        </w:tc>
        <w:tc>
          <w:tcPr>
            <w:tcW w:w="5760" w:type="dxa"/>
          </w:tcPr>
          <w:p w:rsidR="006F2599" w:rsidRDefault="006F2599">
            <w:pPr>
              <w:jc w:val="both"/>
            </w:pPr>
          </w:p>
        </w:tc>
      </w:tr>
    </w:tbl>
    <w:p w:rsidR="0014658F" w:rsidRDefault="0014658F"/>
    <w:sectPr w:rsidR="0014658F" w:rsidSect="006F2599">
      <w:headerReference w:type="even" r:id="rId6"/>
      <w:headerReference w:type="default" r:id="rId7"/>
      <w:footerReference w:type="even" r:id="rId8"/>
      <w:footerReference w:type="default" r:id="rId9"/>
      <w:headerReference w:type="first" r:id="rId10"/>
      <w:footerReference w:type="first" r:id="rId11"/>
      <w:type w:val="continuous"/>
      <w:pgSz w:w="2016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599" w:rsidRDefault="006F2599" w:rsidP="006F2599">
      <w:r>
        <w:separator/>
      </w:r>
    </w:p>
  </w:endnote>
  <w:endnote w:type="continuationSeparator" w:id="0">
    <w:p w:rsidR="006F2599" w:rsidRDefault="006F2599" w:rsidP="006F2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863" w:rsidRDefault="00E608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599" w:rsidRDefault="000B15DA">
    <w:pPr>
      <w:tabs>
        <w:tab w:val="center" w:pos="9360"/>
        <w:tab w:val="right" w:pos="18720"/>
      </w:tabs>
    </w:pPr>
    <w:r>
      <w:fldChar w:fldCharType="begin"/>
    </w:r>
    <w:r>
      <w:instrText xml:space="preserve"> DOCPROPERTY  CCRF  \* MERGEFORMAT </w:instrText>
    </w:r>
    <w:r>
      <w:fldChar w:fldCharType="separate"/>
    </w:r>
    <w:r w:rsidR="00751244">
      <w:t xml:space="preserve"> </w:t>
    </w:r>
    <w:r>
      <w:fldChar w:fldCharType="end"/>
    </w:r>
    <w:r w:rsidR="007E6356">
      <w:tab/>
    </w:r>
    <w:r w:rsidR="006F2599">
      <w:fldChar w:fldCharType="begin"/>
    </w:r>
    <w:r w:rsidR="007E6356">
      <w:instrText xml:space="preserve"> PAGE </w:instrText>
    </w:r>
    <w:r w:rsidR="006F2599">
      <w:fldChar w:fldCharType="separate"/>
    </w:r>
    <w:r>
      <w:rPr>
        <w:noProof/>
      </w:rPr>
      <w:t>1</w:t>
    </w:r>
    <w:r w:rsidR="006F2599">
      <w:fldChar w:fldCharType="end"/>
    </w:r>
    <w:r w:rsidR="007E6356">
      <w:tab/>
    </w:r>
    <w:r w:rsidR="00E609DE">
      <w:fldChar w:fldCharType="begin"/>
    </w:r>
    <w:r w:rsidR="00E609DE">
      <w:instrText xml:space="preserve"> DOCPROPERTY  OTID  \* MERGEFORMAT </w:instrText>
    </w:r>
    <w:r w:rsidR="00E609D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863" w:rsidRDefault="00E608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599" w:rsidRDefault="006F2599" w:rsidP="006F2599">
      <w:r>
        <w:separator/>
      </w:r>
    </w:p>
  </w:footnote>
  <w:footnote w:type="continuationSeparator" w:id="0">
    <w:p w:rsidR="006F2599" w:rsidRDefault="006F2599" w:rsidP="006F25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863" w:rsidRDefault="00E608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863" w:rsidRDefault="00E608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863" w:rsidRDefault="00E608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599"/>
    <w:rsid w:val="000B15DA"/>
    <w:rsid w:val="0014658F"/>
    <w:rsid w:val="005421A7"/>
    <w:rsid w:val="006F2599"/>
    <w:rsid w:val="00751244"/>
    <w:rsid w:val="007E6356"/>
    <w:rsid w:val="007F0D29"/>
    <w:rsid w:val="00E60863"/>
    <w:rsid w:val="00E609DE"/>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813BD3-273A-4FBD-B96B-9414660E0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599"/>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0863"/>
    <w:pPr>
      <w:tabs>
        <w:tab w:val="center" w:pos="4680"/>
        <w:tab w:val="right" w:pos="9360"/>
      </w:tabs>
    </w:pPr>
  </w:style>
  <w:style w:type="character" w:customStyle="1" w:styleId="HeaderChar">
    <w:name w:val="Header Char"/>
    <w:basedOn w:val="DefaultParagraphFont"/>
    <w:link w:val="Header"/>
    <w:uiPriority w:val="99"/>
    <w:rsid w:val="00E60863"/>
    <w:rPr>
      <w:sz w:val="22"/>
    </w:rPr>
  </w:style>
  <w:style w:type="paragraph" w:styleId="Footer">
    <w:name w:val="footer"/>
    <w:basedOn w:val="Normal"/>
    <w:link w:val="FooterChar"/>
    <w:uiPriority w:val="99"/>
    <w:unhideWhenUsed/>
    <w:rsid w:val="00E60863"/>
    <w:pPr>
      <w:tabs>
        <w:tab w:val="center" w:pos="4680"/>
        <w:tab w:val="right" w:pos="9360"/>
      </w:tabs>
    </w:pPr>
  </w:style>
  <w:style w:type="character" w:customStyle="1" w:styleId="FooterChar">
    <w:name w:val="Footer Char"/>
    <w:basedOn w:val="DefaultParagraphFont"/>
    <w:link w:val="Footer"/>
    <w:uiPriority w:val="99"/>
    <w:rsid w:val="00E6086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1166</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HB2757-SAA</vt:lpstr>
    </vt:vector>
  </TitlesOfParts>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HB2757-SAA</dc:title>
  <dc:subject/>
  <dc:creator>Hanna Brumbelow</dc:creator>
  <cp:keywords/>
  <dc:description/>
  <cp:lastModifiedBy>Hanna Brumbelow</cp:lastModifiedBy>
  <cp:revision>2</cp:revision>
  <dcterms:created xsi:type="dcterms:W3CDTF">2019-05-21T16:14:00Z</dcterms:created>
  <dcterms:modified xsi:type="dcterms:W3CDTF">2019-05-21T16:14:00Z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
  </property>
  <property fmtid="{D5CDD505-2E9C-101B-9397-08002B2CF9AE}" pid="3" name="CCRF">
    <vt:lpwstr> </vt:lpwstr>
  </property>
</Properties>
</file>