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AF6D81" w:rsidTr="00AF6D81">
        <w:trPr>
          <w:cantSplit/>
          <w:tblHeader/>
        </w:trPr>
        <w:tc>
          <w:tcPr>
            <w:tcW w:w="18713" w:type="dxa"/>
            <w:gridSpan w:val="3"/>
          </w:tcPr>
          <w:p w:rsidR="00992BAE" w:rsidRDefault="00533F1C">
            <w:pPr>
              <w:ind w:left="650"/>
              <w:jc w:val="center"/>
            </w:pPr>
            <w:bookmarkStart w:id="0" w:name="_GoBack"/>
            <w:bookmarkEnd w:id="0"/>
            <w:r>
              <w:rPr>
                <w:b/>
              </w:rPr>
              <w:t>House Bill  3304</w:t>
            </w:r>
          </w:p>
          <w:p w:rsidR="00992BAE" w:rsidRDefault="00533F1C">
            <w:pPr>
              <w:ind w:left="650"/>
              <w:jc w:val="center"/>
            </w:pPr>
            <w:r>
              <w:t>Senate Amendments</w:t>
            </w:r>
          </w:p>
          <w:p w:rsidR="00992BAE" w:rsidRDefault="00533F1C">
            <w:pPr>
              <w:ind w:left="650"/>
              <w:jc w:val="center"/>
            </w:pPr>
            <w:r>
              <w:t>Section-by-Section Analysis</w:t>
            </w:r>
          </w:p>
          <w:p w:rsidR="00992BAE" w:rsidRDefault="00992BAE">
            <w:pPr>
              <w:jc w:val="center"/>
            </w:pPr>
          </w:p>
        </w:tc>
      </w:tr>
      <w:tr w:rsidR="00992BAE">
        <w:trPr>
          <w:cantSplit/>
          <w:tblHeader/>
        </w:trPr>
        <w:tc>
          <w:tcPr>
            <w:tcW w:w="1667" w:type="pct"/>
            <w:tcMar>
              <w:bottom w:w="188" w:type="dxa"/>
              <w:right w:w="0" w:type="dxa"/>
            </w:tcMar>
          </w:tcPr>
          <w:p w:rsidR="00992BAE" w:rsidRDefault="00533F1C">
            <w:pPr>
              <w:jc w:val="center"/>
            </w:pPr>
            <w:r>
              <w:t>HOUSE VERSION</w:t>
            </w:r>
          </w:p>
        </w:tc>
        <w:tc>
          <w:tcPr>
            <w:tcW w:w="1667" w:type="pct"/>
            <w:tcMar>
              <w:bottom w:w="188" w:type="dxa"/>
              <w:right w:w="0" w:type="dxa"/>
            </w:tcMar>
          </w:tcPr>
          <w:p w:rsidR="00992BAE" w:rsidRDefault="00533F1C">
            <w:pPr>
              <w:jc w:val="center"/>
            </w:pPr>
            <w:r>
              <w:t>SENATE VERSION (CS)</w:t>
            </w:r>
          </w:p>
        </w:tc>
        <w:tc>
          <w:tcPr>
            <w:tcW w:w="1667" w:type="pct"/>
            <w:tcMar>
              <w:bottom w:w="188" w:type="dxa"/>
              <w:right w:w="0" w:type="dxa"/>
            </w:tcMar>
          </w:tcPr>
          <w:p w:rsidR="00992BAE" w:rsidRDefault="00533F1C">
            <w:pPr>
              <w:jc w:val="center"/>
            </w:pPr>
            <w:r>
              <w:t>CONFERENCE</w:t>
            </w:r>
          </w:p>
        </w:tc>
      </w:tr>
      <w:tr w:rsidR="00992BAE">
        <w:tc>
          <w:tcPr>
            <w:tcW w:w="6473" w:type="dxa"/>
          </w:tcPr>
          <w:p w:rsidR="00992BAE" w:rsidRDefault="00533F1C">
            <w:pPr>
              <w:jc w:val="both"/>
            </w:pPr>
            <w:r w:rsidRPr="00AF6D81">
              <w:rPr>
                <w:highlight w:val="lightGray"/>
              </w:rPr>
              <w:t>No equivalent provision.</w:t>
            </w:r>
          </w:p>
          <w:p w:rsidR="00992BAE" w:rsidRDefault="00992BAE">
            <w:pPr>
              <w:jc w:val="both"/>
            </w:pPr>
          </w:p>
        </w:tc>
        <w:tc>
          <w:tcPr>
            <w:tcW w:w="6480" w:type="dxa"/>
          </w:tcPr>
          <w:p w:rsidR="00992BAE" w:rsidRDefault="00533F1C">
            <w:pPr>
              <w:jc w:val="both"/>
            </w:pPr>
            <w:r>
              <w:t>SECTION 1.  Subchapter A, Chapter 182, Health and Safety Code, is amended by adding Section 182.004 to read as follows:</w:t>
            </w:r>
          </w:p>
          <w:p w:rsidR="00992BAE" w:rsidRDefault="00533F1C">
            <w:pPr>
              <w:jc w:val="both"/>
            </w:pPr>
            <w:r>
              <w:rPr>
                <w:u w:val="single"/>
              </w:rPr>
              <w:t>Sec. 182.004.  APPLICATION OF SUNSET ACT.  The Texas Health Services Authority is subject to Chapter 325, Government Code (Texas Sunset Act).  Unless continued in existence as provided by that chapter, the corporation is abolished and this section, Section 182.001, and Subchapters B and C expire September 1, 2027.</w:t>
            </w:r>
          </w:p>
          <w:p w:rsidR="00992BAE" w:rsidRDefault="00992BAE">
            <w:pPr>
              <w:jc w:val="both"/>
            </w:pPr>
          </w:p>
        </w:tc>
        <w:tc>
          <w:tcPr>
            <w:tcW w:w="5760" w:type="dxa"/>
          </w:tcPr>
          <w:p w:rsidR="00992BAE" w:rsidRDefault="00992BAE">
            <w:pPr>
              <w:jc w:val="both"/>
            </w:pPr>
          </w:p>
        </w:tc>
      </w:tr>
      <w:tr w:rsidR="00992BAE">
        <w:tc>
          <w:tcPr>
            <w:tcW w:w="6473" w:type="dxa"/>
          </w:tcPr>
          <w:p w:rsidR="00992BAE" w:rsidRDefault="00533F1C">
            <w:pPr>
              <w:jc w:val="both"/>
            </w:pPr>
            <w:r>
              <w:t>SECTION 1.  The following provisions of the Health and Safety Code are repealed:</w:t>
            </w:r>
          </w:p>
          <w:p w:rsidR="00992BAE" w:rsidRDefault="00533F1C">
            <w:pPr>
              <w:jc w:val="both"/>
            </w:pPr>
            <w:r>
              <w:t>(1)  Section 182.003;</w:t>
            </w:r>
          </w:p>
          <w:p w:rsidR="00992BAE" w:rsidRDefault="00533F1C">
            <w:pPr>
              <w:jc w:val="both"/>
            </w:pPr>
            <w:r>
              <w:t>(2)  Section 182.052;</w:t>
            </w:r>
          </w:p>
          <w:p w:rsidR="00992BAE" w:rsidRDefault="00533F1C">
            <w:pPr>
              <w:jc w:val="both"/>
            </w:pPr>
            <w:r>
              <w:t>(3)  Section 182.101(b);</w:t>
            </w:r>
          </w:p>
          <w:p w:rsidR="00992BAE" w:rsidRDefault="00533F1C">
            <w:pPr>
              <w:jc w:val="both"/>
            </w:pPr>
            <w:r>
              <w:t>(4)  Section 182.102(c);</w:t>
            </w:r>
          </w:p>
          <w:p w:rsidR="00992BAE" w:rsidRDefault="00533F1C">
            <w:pPr>
              <w:jc w:val="both"/>
            </w:pPr>
            <w:r>
              <w:t>(5)  Section 182.103(d);</w:t>
            </w:r>
          </w:p>
          <w:p w:rsidR="00992BAE" w:rsidRDefault="00533F1C">
            <w:pPr>
              <w:jc w:val="both"/>
            </w:pPr>
            <w:r>
              <w:t>(6)  Section 182.104(b);</w:t>
            </w:r>
          </w:p>
          <w:p w:rsidR="00992BAE" w:rsidRDefault="00533F1C">
            <w:pPr>
              <w:jc w:val="both"/>
            </w:pPr>
            <w:r>
              <w:t>(7)  Section 182.105(b);</w:t>
            </w:r>
          </w:p>
          <w:p w:rsidR="00992BAE" w:rsidRDefault="00533F1C">
            <w:pPr>
              <w:jc w:val="both"/>
            </w:pPr>
            <w:r>
              <w:t>(8)  Section 182.106(b);</w:t>
            </w:r>
          </w:p>
          <w:p w:rsidR="00992BAE" w:rsidRDefault="00533F1C">
            <w:pPr>
              <w:jc w:val="both"/>
            </w:pPr>
            <w:r>
              <w:t>(9)  Section 182.107(d); and</w:t>
            </w:r>
          </w:p>
          <w:p w:rsidR="00992BAE" w:rsidRDefault="00533F1C">
            <w:pPr>
              <w:jc w:val="both"/>
            </w:pPr>
            <w:r>
              <w:t>(10)  Section 182.108(f).</w:t>
            </w:r>
          </w:p>
          <w:p w:rsidR="00992BAE" w:rsidRDefault="00992BAE">
            <w:pPr>
              <w:jc w:val="both"/>
            </w:pPr>
          </w:p>
        </w:tc>
        <w:tc>
          <w:tcPr>
            <w:tcW w:w="6480" w:type="dxa"/>
          </w:tcPr>
          <w:p w:rsidR="00992BAE" w:rsidRDefault="00533F1C">
            <w:pPr>
              <w:jc w:val="both"/>
            </w:pPr>
            <w:r>
              <w:t>SECTION 2. Same as House version.</w:t>
            </w:r>
          </w:p>
          <w:p w:rsidR="00992BAE" w:rsidRDefault="00992BAE">
            <w:pPr>
              <w:jc w:val="both"/>
            </w:pPr>
          </w:p>
          <w:p w:rsidR="00992BAE" w:rsidRDefault="00992BAE">
            <w:pPr>
              <w:jc w:val="both"/>
            </w:pPr>
          </w:p>
        </w:tc>
        <w:tc>
          <w:tcPr>
            <w:tcW w:w="5760" w:type="dxa"/>
          </w:tcPr>
          <w:p w:rsidR="00992BAE" w:rsidRDefault="00992BAE">
            <w:pPr>
              <w:jc w:val="both"/>
            </w:pPr>
          </w:p>
        </w:tc>
      </w:tr>
      <w:tr w:rsidR="00992BAE">
        <w:tc>
          <w:tcPr>
            <w:tcW w:w="6473" w:type="dxa"/>
          </w:tcPr>
          <w:p w:rsidR="00992BAE" w:rsidRDefault="00533F1C">
            <w:pPr>
              <w:jc w:val="both"/>
            </w:pPr>
            <w:r>
              <w:t>SECTION 2.  Section 15(b), Chapter 12 (S.B. 203), Acts of the 84th Legislature, Regular Session, 2015, which added Sections 182.108(g), (h), (i), (j), (k), (l), (m), and (n), Health and Safety Code, effective September 1, 2021, is repealed.</w:t>
            </w:r>
          </w:p>
          <w:p w:rsidR="00992BAE" w:rsidRDefault="00992BAE">
            <w:pPr>
              <w:jc w:val="both"/>
            </w:pPr>
          </w:p>
        </w:tc>
        <w:tc>
          <w:tcPr>
            <w:tcW w:w="6480" w:type="dxa"/>
          </w:tcPr>
          <w:p w:rsidR="00992BAE" w:rsidRDefault="00533F1C">
            <w:pPr>
              <w:jc w:val="both"/>
            </w:pPr>
            <w:r>
              <w:t>SECTION 3. Same as House version.</w:t>
            </w:r>
          </w:p>
          <w:p w:rsidR="00992BAE" w:rsidRDefault="00992BAE">
            <w:pPr>
              <w:jc w:val="both"/>
            </w:pPr>
          </w:p>
          <w:p w:rsidR="00992BAE" w:rsidRDefault="00992BAE">
            <w:pPr>
              <w:jc w:val="both"/>
            </w:pPr>
          </w:p>
        </w:tc>
        <w:tc>
          <w:tcPr>
            <w:tcW w:w="5760" w:type="dxa"/>
          </w:tcPr>
          <w:p w:rsidR="00992BAE" w:rsidRDefault="00992BAE">
            <w:pPr>
              <w:jc w:val="both"/>
            </w:pPr>
          </w:p>
        </w:tc>
      </w:tr>
      <w:tr w:rsidR="00992BAE">
        <w:tc>
          <w:tcPr>
            <w:tcW w:w="6473" w:type="dxa"/>
          </w:tcPr>
          <w:p w:rsidR="00992BAE" w:rsidRDefault="00533F1C" w:rsidP="00932DFF">
            <w:pPr>
              <w:jc w:val="both"/>
            </w:pPr>
            <w:r>
              <w:t>SECTION 3.  This Act takes effect September 1, 2019.</w:t>
            </w:r>
            <w:r w:rsidR="00932DFF">
              <w:t xml:space="preserve"> </w:t>
            </w:r>
          </w:p>
        </w:tc>
        <w:tc>
          <w:tcPr>
            <w:tcW w:w="6480" w:type="dxa"/>
          </w:tcPr>
          <w:p w:rsidR="00992BAE" w:rsidRDefault="00533F1C">
            <w:pPr>
              <w:jc w:val="both"/>
            </w:pPr>
            <w:r>
              <w:t>SECTION 4. Same as House version.</w:t>
            </w:r>
          </w:p>
        </w:tc>
        <w:tc>
          <w:tcPr>
            <w:tcW w:w="5760" w:type="dxa"/>
          </w:tcPr>
          <w:p w:rsidR="00992BAE" w:rsidRDefault="00992BAE">
            <w:pPr>
              <w:jc w:val="both"/>
            </w:pPr>
          </w:p>
        </w:tc>
      </w:tr>
    </w:tbl>
    <w:p w:rsidR="00841AE4" w:rsidRPr="00932DFF" w:rsidRDefault="00841AE4">
      <w:pPr>
        <w:rPr>
          <w:sz w:val="2"/>
          <w:szCs w:val="2"/>
        </w:rPr>
      </w:pPr>
    </w:p>
    <w:sectPr w:rsidR="00841AE4" w:rsidRPr="00932DFF" w:rsidSect="00992BAE">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BAE" w:rsidRDefault="00992BAE" w:rsidP="00992BAE">
      <w:r>
        <w:separator/>
      </w:r>
    </w:p>
  </w:endnote>
  <w:endnote w:type="continuationSeparator" w:id="0">
    <w:p w:rsidR="00992BAE" w:rsidRDefault="00992BAE" w:rsidP="0099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1D" w:rsidRDefault="00B93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AE" w:rsidRDefault="00457EDF">
    <w:pPr>
      <w:tabs>
        <w:tab w:val="center" w:pos="9360"/>
        <w:tab w:val="right" w:pos="18720"/>
      </w:tabs>
    </w:pPr>
    <w:r>
      <w:fldChar w:fldCharType="begin"/>
    </w:r>
    <w:r>
      <w:instrText xml:space="preserve"> DOCPROPERTY  CCRF  \* MERGEFORMAT </w:instrText>
    </w:r>
    <w:r>
      <w:fldChar w:fldCharType="separate"/>
    </w:r>
    <w:r w:rsidR="00F50991">
      <w:t xml:space="preserve"> </w:t>
    </w:r>
    <w:r>
      <w:fldChar w:fldCharType="end"/>
    </w:r>
    <w:r w:rsidR="00533F1C">
      <w:tab/>
    </w:r>
    <w:r w:rsidR="00992BAE">
      <w:fldChar w:fldCharType="begin"/>
    </w:r>
    <w:r w:rsidR="00533F1C">
      <w:instrText xml:space="preserve"> PAGE </w:instrText>
    </w:r>
    <w:r w:rsidR="00992BAE">
      <w:fldChar w:fldCharType="separate"/>
    </w:r>
    <w:r>
      <w:rPr>
        <w:noProof/>
      </w:rPr>
      <w:t>1</w:t>
    </w:r>
    <w:r w:rsidR="00992BAE">
      <w:fldChar w:fldCharType="end"/>
    </w:r>
    <w:r w:rsidR="00533F1C">
      <w:tab/>
    </w:r>
    <w:r w:rsidR="00932DFF">
      <w:fldChar w:fldCharType="begin"/>
    </w:r>
    <w:r w:rsidR="00932DFF">
      <w:instrText xml:space="preserve"> DOCPROPERTY  OTID  \* MERGEFORMAT </w:instrText>
    </w:r>
    <w:r w:rsidR="00932DF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1D" w:rsidRDefault="00B93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BAE" w:rsidRDefault="00992BAE" w:rsidP="00992BAE">
      <w:r>
        <w:separator/>
      </w:r>
    </w:p>
  </w:footnote>
  <w:footnote w:type="continuationSeparator" w:id="0">
    <w:p w:rsidR="00992BAE" w:rsidRDefault="00992BAE" w:rsidP="00992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1D" w:rsidRDefault="00B93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1D" w:rsidRDefault="00B933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1D" w:rsidRDefault="00B933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AE"/>
    <w:rsid w:val="00457EDF"/>
    <w:rsid w:val="00533F1C"/>
    <w:rsid w:val="006F5045"/>
    <w:rsid w:val="00841AE4"/>
    <w:rsid w:val="00932DFF"/>
    <w:rsid w:val="00992BAE"/>
    <w:rsid w:val="00AF6D81"/>
    <w:rsid w:val="00B9331D"/>
    <w:rsid w:val="00D54419"/>
    <w:rsid w:val="00F5099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19366-605C-4698-BE20-3B0B1935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BA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31D"/>
    <w:pPr>
      <w:tabs>
        <w:tab w:val="center" w:pos="4680"/>
        <w:tab w:val="right" w:pos="9360"/>
      </w:tabs>
    </w:pPr>
  </w:style>
  <w:style w:type="character" w:customStyle="1" w:styleId="HeaderChar">
    <w:name w:val="Header Char"/>
    <w:basedOn w:val="DefaultParagraphFont"/>
    <w:link w:val="Header"/>
    <w:uiPriority w:val="99"/>
    <w:rsid w:val="00B9331D"/>
    <w:rPr>
      <w:sz w:val="22"/>
    </w:rPr>
  </w:style>
  <w:style w:type="paragraph" w:styleId="Footer">
    <w:name w:val="footer"/>
    <w:basedOn w:val="Normal"/>
    <w:link w:val="FooterChar"/>
    <w:uiPriority w:val="99"/>
    <w:unhideWhenUsed/>
    <w:rsid w:val="00B9331D"/>
    <w:pPr>
      <w:tabs>
        <w:tab w:val="center" w:pos="4680"/>
        <w:tab w:val="right" w:pos="9360"/>
      </w:tabs>
    </w:pPr>
  </w:style>
  <w:style w:type="character" w:customStyle="1" w:styleId="FooterChar">
    <w:name w:val="Footer Char"/>
    <w:basedOn w:val="DefaultParagraphFont"/>
    <w:link w:val="Footer"/>
    <w:uiPriority w:val="99"/>
    <w:rsid w:val="00B9331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HB3304-SAA</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HB3304-SAA</dc:title>
  <dc:subject/>
  <dc:creator>Madeline Taylor</dc:creator>
  <cp:keywords/>
  <dc:description/>
  <cp:lastModifiedBy>Madeline Taylor</cp:lastModifiedBy>
  <cp:revision>2</cp:revision>
  <dcterms:created xsi:type="dcterms:W3CDTF">2019-05-23T15:51:00Z</dcterms:created>
  <dcterms:modified xsi:type="dcterms:W3CDTF">2019-05-23T15:51:00Z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