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3586A" w:rsidTr="0063586A">
        <w:trPr>
          <w:cantSplit/>
          <w:tblHeader/>
        </w:trPr>
        <w:tc>
          <w:tcPr>
            <w:tcW w:w="18713" w:type="dxa"/>
            <w:gridSpan w:val="3"/>
          </w:tcPr>
          <w:p w:rsidR="00BE42E5" w:rsidRDefault="009B5D24">
            <w:pPr>
              <w:ind w:left="650"/>
              <w:jc w:val="center"/>
            </w:pPr>
            <w:bookmarkStart w:id="0" w:name="_GoBack"/>
            <w:bookmarkEnd w:id="0"/>
            <w:r>
              <w:rPr>
                <w:b/>
              </w:rPr>
              <w:t>House Bill  3809</w:t>
            </w:r>
          </w:p>
          <w:p w:rsidR="00BE42E5" w:rsidRDefault="009B5D24">
            <w:pPr>
              <w:ind w:left="650"/>
              <w:jc w:val="center"/>
            </w:pPr>
            <w:r>
              <w:t>Senate Amendments</w:t>
            </w:r>
          </w:p>
          <w:p w:rsidR="00BE42E5" w:rsidRDefault="009B5D24">
            <w:pPr>
              <w:ind w:left="650"/>
              <w:jc w:val="center"/>
            </w:pPr>
            <w:r>
              <w:t>Section-by-Section Analysis</w:t>
            </w:r>
          </w:p>
          <w:p w:rsidR="00BE42E5" w:rsidRDefault="00BE42E5">
            <w:pPr>
              <w:jc w:val="center"/>
            </w:pPr>
          </w:p>
        </w:tc>
      </w:tr>
      <w:tr w:rsidR="00BE42E5">
        <w:trPr>
          <w:cantSplit/>
          <w:tblHeader/>
        </w:trPr>
        <w:tc>
          <w:tcPr>
            <w:tcW w:w="1667" w:type="pct"/>
            <w:tcMar>
              <w:bottom w:w="188" w:type="dxa"/>
              <w:right w:w="0" w:type="dxa"/>
            </w:tcMar>
          </w:tcPr>
          <w:p w:rsidR="00BE42E5" w:rsidRDefault="009B5D24">
            <w:pPr>
              <w:jc w:val="center"/>
            </w:pPr>
            <w:r>
              <w:t>HOUSE VERSION</w:t>
            </w:r>
          </w:p>
        </w:tc>
        <w:tc>
          <w:tcPr>
            <w:tcW w:w="1667" w:type="pct"/>
            <w:tcMar>
              <w:bottom w:w="188" w:type="dxa"/>
              <w:right w:w="0" w:type="dxa"/>
            </w:tcMar>
          </w:tcPr>
          <w:p w:rsidR="00BE42E5" w:rsidRDefault="009B5D24">
            <w:pPr>
              <w:jc w:val="center"/>
            </w:pPr>
            <w:r>
              <w:t>SENATE VERSION (CS)</w:t>
            </w:r>
          </w:p>
        </w:tc>
        <w:tc>
          <w:tcPr>
            <w:tcW w:w="1667" w:type="pct"/>
            <w:tcMar>
              <w:bottom w:w="188" w:type="dxa"/>
              <w:right w:w="0" w:type="dxa"/>
            </w:tcMar>
          </w:tcPr>
          <w:p w:rsidR="00BE42E5" w:rsidRDefault="009B5D24">
            <w:pPr>
              <w:jc w:val="center"/>
            </w:pPr>
            <w:r>
              <w:t>CONFERENCE</w:t>
            </w:r>
          </w:p>
        </w:tc>
      </w:tr>
      <w:tr w:rsidR="00BE42E5">
        <w:tc>
          <w:tcPr>
            <w:tcW w:w="6473" w:type="dxa"/>
          </w:tcPr>
          <w:p w:rsidR="00BE42E5" w:rsidRDefault="009B5D24">
            <w:pPr>
              <w:jc w:val="both"/>
            </w:pPr>
            <w:r>
              <w:t>SECTION 1.  Section 16.0045, Civil Practice and Remedies Code, is amended by amending Subsections (a) and (c) and adding Subsection (a-1) to read as follows:</w:t>
            </w:r>
          </w:p>
          <w:p w:rsidR="00BE42E5" w:rsidRDefault="009B5D24">
            <w:pPr>
              <w:jc w:val="both"/>
            </w:pPr>
            <w:r>
              <w:t xml:space="preserve">(a)  </w:t>
            </w:r>
            <w:r w:rsidRPr="0063586A">
              <w:rPr>
                <w:highlight w:val="lightGray"/>
                <w:u w:val="single"/>
              </w:rPr>
              <w:t>Except as provided by Subsection (a-1),</w:t>
            </w:r>
            <w:r w:rsidRPr="000A2CD5">
              <w:rPr>
                <w:u w:val="single"/>
              </w:rPr>
              <w:t xml:space="preserve"> a</w:t>
            </w:r>
            <w:r>
              <w:t xml:space="preserve"> [</w:t>
            </w:r>
            <w:r>
              <w:rPr>
                <w:strike/>
              </w:rPr>
              <w:t>A</w:t>
            </w:r>
            <w:r>
              <w:t xml:space="preserve">] person must bring suit for personal injury not later than </w:t>
            </w:r>
            <w:r w:rsidRPr="000A2CD5">
              <w:rPr>
                <w:highlight w:val="lightGray"/>
              </w:rPr>
              <w:t>15</w:t>
            </w:r>
            <w:r>
              <w:t xml:space="preserve"> years after the day the cause of action accrues if the injury arises as a result of conduct that violates:</w:t>
            </w:r>
          </w:p>
          <w:p w:rsidR="00BE42E5" w:rsidRDefault="009B5D24">
            <w:pPr>
              <w:jc w:val="both"/>
            </w:pPr>
            <w:r>
              <w:t>(1)  Section 22.011(a)(2), Penal Code (sexual assault of a child);</w:t>
            </w:r>
          </w:p>
          <w:p w:rsidR="00BE42E5" w:rsidRDefault="009B5D24">
            <w:pPr>
              <w:jc w:val="both"/>
            </w:pPr>
            <w:r>
              <w:t>(2)  Section 22.021(a)(1)(B), Penal Code (aggravated sexual assault of a child);</w:t>
            </w:r>
          </w:p>
          <w:p w:rsidR="00BE42E5" w:rsidRDefault="009B5D24">
            <w:pPr>
              <w:jc w:val="both"/>
            </w:pPr>
            <w:r>
              <w:t>(3)  Section 21.02, Penal Code (continuous sexual abuse of young child or children);</w:t>
            </w:r>
          </w:p>
          <w:p w:rsidR="00BE42E5" w:rsidRDefault="009B5D24">
            <w:pPr>
              <w:jc w:val="both"/>
            </w:pPr>
            <w:r>
              <w:t>(4)  Section 20A.02(a)(7)(A), (B), (C), (D), or (H) or Section 20A.02(a)(8), Penal Code, involving an activity described by Section 20A.02(a)(7)(A), (B), (C), (D), or (H) or sexual conduct with a child trafficked in the manner described by Section 20A.02(a)(7), Penal Code (certain sexual trafficking of a child);</w:t>
            </w:r>
          </w:p>
          <w:p w:rsidR="00BE42E5" w:rsidRDefault="009B5D24">
            <w:pPr>
              <w:jc w:val="both"/>
            </w:pPr>
            <w:r>
              <w:t>(5)  Section 43.05(a)(2), Penal Code (compelling prostitution by a child); or</w:t>
            </w:r>
          </w:p>
          <w:p w:rsidR="00BE42E5" w:rsidRDefault="009B5D24">
            <w:pPr>
              <w:jc w:val="both"/>
            </w:pPr>
            <w:r>
              <w:t>(6)  Section 21.11, Penal Code (indecency with a child).</w:t>
            </w:r>
          </w:p>
          <w:p w:rsidR="00BE42E5" w:rsidRPr="0063586A" w:rsidRDefault="009B5D24">
            <w:pPr>
              <w:jc w:val="both"/>
              <w:rPr>
                <w:highlight w:val="lightGray"/>
              </w:rPr>
            </w:pPr>
            <w:r w:rsidRPr="0063586A">
              <w:rPr>
                <w:highlight w:val="lightGray"/>
                <w:u w:val="single"/>
              </w:rPr>
              <w:t>(a-1)  A person may bring suit for personal injury not later than 30 years after the day the cause of action accrues if:</w:t>
            </w:r>
          </w:p>
          <w:p w:rsidR="00BE42E5" w:rsidRPr="0063586A" w:rsidRDefault="009B5D24">
            <w:pPr>
              <w:jc w:val="both"/>
              <w:rPr>
                <w:highlight w:val="lightGray"/>
              </w:rPr>
            </w:pPr>
            <w:r w:rsidRPr="0063586A">
              <w:rPr>
                <w:highlight w:val="lightGray"/>
                <w:u w:val="single"/>
              </w:rPr>
              <w:t>(1)  the injury arises as a result of conduct that violates a section of the Penal Code listed in Subsection (a); and</w:t>
            </w:r>
          </w:p>
          <w:p w:rsidR="00BE42E5" w:rsidRPr="0063586A" w:rsidRDefault="009B5D24">
            <w:pPr>
              <w:jc w:val="both"/>
              <w:rPr>
                <w:highlight w:val="lightGray"/>
              </w:rPr>
            </w:pPr>
            <w:r w:rsidRPr="0063586A">
              <w:rPr>
                <w:highlight w:val="lightGray"/>
                <w:u w:val="single"/>
              </w:rPr>
              <w:t>(2)  the person brings the suit solely against an individual or individuals who committed the conduct.</w:t>
            </w:r>
          </w:p>
          <w:p w:rsidR="00BE42E5" w:rsidRDefault="009B5D24">
            <w:pPr>
              <w:jc w:val="both"/>
            </w:pPr>
            <w:r w:rsidRPr="0063586A">
              <w:rPr>
                <w:highlight w:val="lightGray"/>
              </w:rPr>
              <w:t xml:space="preserve">(c)  In an action </w:t>
            </w:r>
            <w:r w:rsidRPr="0063586A">
              <w:rPr>
                <w:highlight w:val="lightGray"/>
                <w:u w:val="single"/>
              </w:rPr>
              <w:t>described by this section</w:t>
            </w:r>
            <w:r w:rsidRPr="0063586A">
              <w:rPr>
                <w:highlight w:val="lightGray"/>
              </w:rPr>
              <w:t xml:space="preserve"> for injury resulting in death [</w:t>
            </w:r>
            <w:r w:rsidRPr="0063586A">
              <w:rPr>
                <w:strike/>
                <w:highlight w:val="lightGray"/>
              </w:rPr>
              <w:t>arising as a result of conduct described by Subsection (a) or (b)</w:t>
            </w:r>
            <w:r w:rsidRPr="0063586A">
              <w:rPr>
                <w:highlight w:val="lightGray"/>
              </w:rPr>
              <w:t xml:space="preserve">], the cause of action accrues on the death of the injured person. </w:t>
            </w:r>
            <w:r w:rsidRPr="0063586A">
              <w:rPr>
                <w:highlight w:val="lightGray"/>
                <w:u w:val="single"/>
              </w:rPr>
              <w:t xml:space="preserve">In an action described by this </w:t>
            </w:r>
            <w:r w:rsidRPr="0063586A">
              <w:rPr>
                <w:highlight w:val="lightGray"/>
                <w:u w:val="single"/>
              </w:rPr>
              <w:lastRenderedPageBreak/>
              <w:t>section for injury not resulting in death, the cause of action accrues on the last day that the conduct that violates a section of the Penal Code listed in Subsection (a) or (b) occurs.</w:t>
            </w:r>
          </w:p>
          <w:p w:rsidR="00BE42E5" w:rsidRDefault="00BE42E5">
            <w:pPr>
              <w:jc w:val="both"/>
            </w:pPr>
          </w:p>
        </w:tc>
        <w:tc>
          <w:tcPr>
            <w:tcW w:w="6480" w:type="dxa"/>
          </w:tcPr>
          <w:p w:rsidR="00BE42E5" w:rsidRDefault="009B5D24">
            <w:pPr>
              <w:jc w:val="both"/>
            </w:pPr>
            <w:r>
              <w:lastRenderedPageBreak/>
              <w:t>SECTION 1.  Section 16.0045(a), Civil Practice and Remedies Code, is amended to read as follows:</w:t>
            </w:r>
          </w:p>
          <w:p w:rsidR="0063586A" w:rsidRDefault="0063586A">
            <w:pPr>
              <w:jc w:val="both"/>
            </w:pPr>
          </w:p>
          <w:p w:rsidR="00BE42E5" w:rsidRDefault="009B5D24">
            <w:pPr>
              <w:jc w:val="both"/>
            </w:pPr>
            <w:r>
              <w:t xml:space="preserve">(a)  A person must bring suit for personal injury not later than </w:t>
            </w:r>
            <w:r w:rsidRPr="000A2CD5">
              <w:rPr>
                <w:highlight w:val="lightGray"/>
                <w:u w:val="single"/>
              </w:rPr>
              <w:t>30</w:t>
            </w:r>
            <w:r w:rsidRPr="000A2CD5">
              <w:rPr>
                <w:highlight w:val="lightGray"/>
              </w:rPr>
              <w:t xml:space="preserve"> [</w:t>
            </w:r>
            <w:r w:rsidRPr="000A2CD5">
              <w:rPr>
                <w:strike/>
                <w:highlight w:val="lightGray"/>
              </w:rPr>
              <w:t>15</w:t>
            </w:r>
            <w:r w:rsidRPr="000A2CD5">
              <w:rPr>
                <w:highlight w:val="lightGray"/>
              </w:rPr>
              <w:t>]</w:t>
            </w:r>
            <w:r>
              <w:t xml:space="preserve"> years after the day the cause of action accrues if the injury arises as a result of conduct that violates:</w:t>
            </w:r>
          </w:p>
          <w:p w:rsidR="000A2CD5" w:rsidRDefault="000A2CD5">
            <w:pPr>
              <w:jc w:val="both"/>
            </w:pPr>
          </w:p>
          <w:p w:rsidR="00BE42E5" w:rsidRDefault="009B5D24">
            <w:pPr>
              <w:jc w:val="both"/>
            </w:pPr>
            <w:r>
              <w:t>(1)  Section 22.011(a)(2), Penal Code (sexual assault of a child);</w:t>
            </w:r>
          </w:p>
          <w:p w:rsidR="00BE42E5" w:rsidRDefault="009B5D24">
            <w:pPr>
              <w:jc w:val="both"/>
            </w:pPr>
            <w:r>
              <w:t>(2)  Section 22.021(a)(1)(B), Penal Code (aggravated sexual assault of a child);</w:t>
            </w:r>
          </w:p>
          <w:p w:rsidR="00BE42E5" w:rsidRDefault="009B5D24">
            <w:pPr>
              <w:jc w:val="both"/>
            </w:pPr>
            <w:r>
              <w:t>(3)  Section 21.02, Penal Code (continuous sexual abuse of young child or children);</w:t>
            </w:r>
          </w:p>
          <w:p w:rsidR="00BE42E5" w:rsidRDefault="009B5D24">
            <w:pPr>
              <w:jc w:val="both"/>
            </w:pPr>
            <w:r>
              <w:t>(4)  Section 20A.02(a)(7)(A), (B), (C), (D), or (H) or Section 20A.02(a)(8), Penal Code, involving an activity described by Section 20A.02(a)(7)(A), (B), (C), (D), or (H) or sexual conduct with a child trafficked in the manner described by Section 20A.02(a)(7), Penal Code (certain sexual trafficking of a child);</w:t>
            </w:r>
          </w:p>
          <w:p w:rsidR="00BE42E5" w:rsidRDefault="009B5D24">
            <w:pPr>
              <w:jc w:val="both"/>
            </w:pPr>
            <w:r>
              <w:t>(5)  Section 43.05(a)(2), Penal Code (compelling prostitution by a child); or</w:t>
            </w:r>
          </w:p>
          <w:p w:rsidR="00BE42E5" w:rsidRDefault="009B5D24">
            <w:pPr>
              <w:jc w:val="both"/>
            </w:pPr>
            <w:r>
              <w:t>(6)  Section 21.11, Penal Code (indecency with a child).</w:t>
            </w:r>
          </w:p>
          <w:p w:rsidR="00BE42E5" w:rsidRDefault="00BE42E5">
            <w:pPr>
              <w:jc w:val="both"/>
            </w:pPr>
          </w:p>
        </w:tc>
        <w:tc>
          <w:tcPr>
            <w:tcW w:w="5760" w:type="dxa"/>
          </w:tcPr>
          <w:p w:rsidR="00BE42E5" w:rsidRDefault="00BE42E5">
            <w:pPr>
              <w:jc w:val="both"/>
            </w:pPr>
          </w:p>
        </w:tc>
      </w:tr>
      <w:tr w:rsidR="00BE42E5">
        <w:tc>
          <w:tcPr>
            <w:tcW w:w="6473" w:type="dxa"/>
          </w:tcPr>
          <w:p w:rsidR="00BE42E5" w:rsidRDefault="009B5D24">
            <w:pPr>
              <w:jc w:val="both"/>
            </w:pPr>
            <w:r>
              <w:t>SECTION 2</w:t>
            </w:r>
            <w:r w:rsidRPr="000A2CD5">
              <w:t xml:space="preserve">.  </w:t>
            </w:r>
            <w:r w:rsidRPr="0063586A">
              <w:rPr>
                <w:highlight w:val="lightGray"/>
              </w:rPr>
              <w:t>(a)  Section 16.0045(a-1), Civil Practice and Remedies Code, as added</w:t>
            </w:r>
            <w:r w:rsidRPr="000A2CD5">
              <w:t xml:space="preserve"> </w:t>
            </w:r>
            <w:r w:rsidRPr="0063586A">
              <w:t>by</w:t>
            </w:r>
            <w:r>
              <w:t xml:space="preserve"> this Act, applies to a cause of action that accrues on or after the effective date of this Act or a cause of action that accrued before the effective date of this Act, if the limitations period applicable to the cause of action immediately before the effective date of this Act has not expired before the effective date of this Act.</w:t>
            </w:r>
          </w:p>
          <w:p w:rsidR="00BE42E5" w:rsidRDefault="009B5D24">
            <w:pPr>
              <w:jc w:val="both"/>
            </w:pPr>
            <w:r w:rsidRPr="0063586A">
              <w:rPr>
                <w:highlight w:val="lightGray"/>
              </w:rPr>
              <w:t>(b)  Section 16.0045(c), Civil Practice and Remedies Code, as amended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BE42E5" w:rsidRDefault="00BE42E5">
            <w:pPr>
              <w:jc w:val="both"/>
            </w:pPr>
          </w:p>
        </w:tc>
        <w:tc>
          <w:tcPr>
            <w:tcW w:w="6480" w:type="dxa"/>
          </w:tcPr>
          <w:p w:rsidR="0063586A" w:rsidRDefault="0063586A" w:rsidP="0063586A">
            <w:pPr>
              <w:jc w:val="both"/>
            </w:pPr>
            <w:r>
              <w:t xml:space="preserve">SECTION 2.  </w:t>
            </w:r>
            <w:r w:rsidRPr="0063586A">
              <w:rPr>
                <w:highlight w:val="lightGray"/>
              </w:rPr>
              <w:t>The change in law made by</w:t>
            </w:r>
            <w:r>
              <w:t xml:space="preserve"> this Act applies to a cause of action that accrues on or after the effective date of this Act or a cause of action that accrued before the effective date of this Act, if the limitations period applicable to the cause of action immediately before the effective date of this Act has not expired before the effective date of this Act.</w:t>
            </w:r>
          </w:p>
          <w:p w:rsidR="00BE42E5" w:rsidRDefault="00BE42E5">
            <w:pPr>
              <w:jc w:val="both"/>
            </w:pPr>
          </w:p>
        </w:tc>
        <w:tc>
          <w:tcPr>
            <w:tcW w:w="5760" w:type="dxa"/>
          </w:tcPr>
          <w:p w:rsidR="00BE42E5" w:rsidRDefault="00BE42E5">
            <w:pPr>
              <w:jc w:val="both"/>
            </w:pPr>
          </w:p>
        </w:tc>
      </w:tr>
      <w:tr w:rsidR="00BE42E5">
        <w:tc>
          <w:tcPr>
            <w:tcW w:w="6473" w:type="dxa"/>
          </w:tcPr>
          <w:p w:rsidR="00BE42E5" w:rsidRDefault="009B5D24">
            <w:pPr>
              <w:jc w:val="both"/>
            </w:pPr>
            <w:r>
              <w:t>No equivalent provision.</w:t>
            </w:r>
          </w:p>
          <w:p w:rsidR="00BE42E5" w:rsidRDefault="00BE42E5">
            <w:pPr>
              <w:jc w:val="both"/>
            </w:pPr>
          </w:p>
        </w:tc>
        <w:tc>
          <w:tcPr>
            <w:tcW w:w="6480" w:type="dxa"/>
          </w:tcPr>
          <w:p w:rsidR="00BE42E5" w:rsidRDefault="00BE42E5" w:rsidP="0063586A">
            <w:pPr>
              <w:jc w:val="both"/>
            </w:pPr>
          </w:p>
        </w:tc>
        <w:tc>
          <w:tcPr>
            <w:tcW w:w="5760" w:type="dxa"/>
          </w:tcPr>
          <w:p w:rsidR="00BE42E5" w:rsidRDefault="00BE42E5">
            <w:pPr>
              <w:jc w:val="both"/>
            </w:pPr>
          </w:p>
        </w:tc>
      </w:tr>
      <w:tr w:rsidR="00BE42E5">
        <w:tc>
          <w:tcPr>
            <w:tcW w:w="6473" w:type="dxa"/>
          </w:tcPr>
          <w:p w:rsidR="00BE42E5" w:rsidRDefault="009B5D24">
            <w:pPr>
              <w:jc w:val="both"/>
            </w:pPr>
            <w:r>
              <w:t>SECTION 3.  This Act takes effect September 1, 2019.</w:t>
            </w:r>
          </w:p>
          <w:p w:rsidR="00BE42E5" w:rsidRDefault="00BE42E5">
            <w:pPr>
              <w:jc w:val="both"/>
            </w:pPr>
          </w:p>
        </w:tc>
        <w:tc>
          <w:tcPr>
            <w:tcW w:w="6480" w:type="dxa"/>
          </w:tcPr>
          <w:p w:rsidR="00BE42E5" w:rsidRDefault="009B5D24">
            <w:pPr>
              <w:jc w:val="both"/>
            </w:pPr>
            <w:r>
              <w:t>SECTION 3. Same as House version.</w:t>
            </w:r>
          </w:p>
          <w:p w:rsidR="00BE42E5" w:rsidRDefault="00BE42E5">
            <w:pPr>
              <w:jc w:val="both"/>
            </w:pPr>
          </w:p>
          <w:p w:rsidR="00BE42E5" w:rsidRDefault="00BE42E5">
            <w:pPr>
              <w:jc w:val="both"/>
            </w:pPr>
          </w:p>
        </w:tc>
        <w:tc>
          <w:tcPr>
            <w:tcW w:w="5760" w:type="dxa"/>
          </w:tcPr>
          <w:p w:rsidR="00BE42E5" w:rsidRDefault="00BE42E5">
            <w:pPr>
              <w:jc w:val="both"/>
            </w:pPr>
          </w:p>
        </w:tc>
      </w:tr>
    </w:tbl>
    <w:p w:rsidR="00275BD2" w:rsidRDefault="00275BD2"/>
    <w:sectPr w:rsidR="00275BD2" w:rsidSect="00BE42E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E5" w:rsidRDefault="00BE42E5" w:rsidP="00BE42E5">
      <w:r>
        <w:separator/>
      </w:r>
    </w:p>
  </w:endnote>
  <w:endnote w:type="continuationSeparator" w:id="0">
    <w:p w:rsidR="00BE42E5" w:rsidRDefault="00BE42E5" w:rsidP="00BE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93" w:rsidRDefault="00BA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E5" w:rsidRDefault="00962D7E">
    <w:pPr>
      <w:tabs>
        <w:tab w:val="center" w:pos="9360"/>
        <w:tab w:val="right" w:pos="18720"/>
      </w:tabs>
    </w:pPr>
    <w:r>
      <w:fldChar w:fldCharType="begin"/>
    </w:r>
    <w:r>
      <w:instrText xml:space="preserve"> DOCPROPERTY  CCRF  \* MERGEFORMAT </w:instrText>
    </w:r>
    <w:r>
      <w:fldChar w:fldCharType="separate"/>
    </w:r>
    <w:r w:rsidR="00C127A3">
      <w:t xml:space="preserve"> </w:t>
    </w:r>
    <w:r>
      <w:fldChar w:fldCharType="end"/>
    </w:r>
    <w:r w:rsidR="009B5D24">
      <w:tab/>
    </w:r>
    <w:r w:rsidR="00BE42E5">
      <w:fldChar w:fldCharType="begin"/>
    </w:r>
    <w:r w:rsidR="009B5D24">
      <w:instrText xml:space="preserve"> PAGE </w:instrText>
    </w:r>
    <w:r w:rsidR="00BE42E5">
      <w:fldChar w:fldCharType="separate"/>
    </w:r>
    <w:r>
      <w:rPr>
        <w:noProof/>
      </w:rPr>
      <w:t>2</w:t>
    </w:r>
    <w:r w:rsidR="00BE42E5">
      <w:fldChar w:fldCharType="end"/>
    </w:r>
    <w:r w:rsidR="009B5D24">
      <w:tab/>
    </w:r>
    <w:r w:rsidR="00D43A33">
      <w:fldChar w:fldCharType="begin"/>
    </w:r>
    <w:r w:rsidR="00D43A33">
      <w:instrText xml:space="preserve"> DOCPROPERTY  OTID  \* MERGEFORMAT </w:instrText>
    </w:r>
    <w:r w:rsidR="00D43A3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93" w:rsidRDefault="00BA3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E5" w:rsidRDefault="00BE42E5" w:rsidP="00BE42E5">
      <w:r>
        <w:separator/>
      </w:r>
    </w:p>
  </w:footnote>
  <w:footnote w:type="continuationSeparator" w:id="0">
    <w:p w:rsidR="00BE42E5" w:rsidRDefault="00BE42E5" w:rsidP="00BE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93" w:rsidRDefault="00BA3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93" w:rsidRDefault="00BA3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93" w:rsidRDefault="00BA3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E5"/>
    <w:rsid w:val="000A2CD5"/>
    <w:rsid w:val="00275BD2"/>
    <w:rsid w:val="0063586A"/>
    <w:rsid w:val="00962D7E"/>
    <w:rsid w:val="009B5D24"/>
    <w:rsid w:val="00BA3893"/>
    <w:rsid w:val="00BE42E5"/>
    <w:rsid w:val="00C127A3"/>
    <w:rsid w:val="00D43A3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64BA2-19C0-4EF5-BF7A-20F1DF5F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93"/>
    <w:pPr>
      <w:tabs>
        <w:tab w:val="center" w:pos="4680"/>
        <w:tab w:val="right" w:pos="9360"/>
      </w:tabs>
    </w:pPr>
  </w:style>
  <w:style w:type="character" w:customStyle="1" w:styleId="HeaderChar">
    <w:name w:val="Header Char"/>
    <w:basedOn w:val="DefaultParagraphFont"/>
    <w:link w:val="Header"/>
    <w:uiPriority w:val="99"/>
    <w:rsid w:val="00BA3893"/>
    <w:rPr>
      <w:sz w:val="22"/>
    </w:rPr>
  </w:style>
  <w:style w:type="paragraph" w:styleId="Footer">
    <w:name w:val="footer"/>
    <w:basedOn w:val="Normal"/>
    <w:link w:val="FooterChar"/>
    <w:uiPriority w:val="99"/>
    <w:unhideWhenUsed/>
    <w:rsid w:val="00BA3893"/>
    <w:pPr>
      <w:tabs>
        <w:tab w:val="center" w:pos="4680"/>
        <w:tab w:val="right" w:pos="9360"/>
      </w:tabs>
    </w:pPr>
  </w:style>
  <w:style w:type="character" w:customStyle="1" w:styleId="FooterChar">
    <w:name w:val="Footer Char"/>
    <w:basedOn w:val="DefaultParagraphFont"/>
    <w:link w:val="Footer"/>
    <w:uiPriority w:val="99"/>
    <w:rsid w:val="00BA38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HB3809-SAA</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HB3809-SAA</dc:title>
  <dc:subject/>
  <dc:creator>Hanna Brumbelow</dc:creator>
  <cp:keywords/>
  <dc:description/>
  <cp:lastModifiedBy>Hanna Brumbelow</cp:lastModifiedBy>
  <cp:revision>2</cp:revision>
  <dcterms:created xsi:type="dcterms:W3CDTF">2019-05-21T21:13:00Z</dcterms:created>
  <dcterms:modified xsi:type="dcterms:W3CDTF">2019-05-21T21:13:00Z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