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65D8A" w:rsidTr="00665D8A">
        <w:trPr>
          <w:cantSplit/>
          <w:tblHeader/>
        </w:trPr>
        <w:tc>
          <w:tcPr>
            <w:tcW w:w="18713" w:type="dxa"/>
            <w:gridSpan w:val="3"/>
          </w:tcPr>
          <w:p w:rsidR="00C90CFD" w:rsidRDefault="00214985">
            <w:pPr>
              <w:ind w:left="650"/>
              <w:jc w:val="center"/>
            </w:pPr>
            <w:bookmarkStart w:id="0" w:name="_GoBack"/>
            <w:bookmarkEnd w:id="0"/>
            <w:r>
              <w:rPr>
                <w:b/>
              </w:rPr>
              <w:t>House Bill  4120</w:t>
            </w:r>
          </w:p>
          <w:p w:rsidR="00C90CFD" w:rsidRDefault="00214985">
            <w:pPr>
              <w:ind w:left="650"/>
              <w:jc w:val="center"/>
            </w:pPr>
            <w:r>
              <w:t>Senate Amendments</w:t>
            </w:r>
          </w:p>
          <w:p w:rsidR="00C90CFD" w:rsidRDefault="00214985">
            <w:pPr>
              <w:ind w:left="650"/>
              <w:jc w:val="center"/>
            </w:pPr>
            <w:r>
              <w:t>Section-by-Section Analysis</w:t>
            </w:r>
          </w:p>
          <w:p w:rsidR="00C90CFD" w:rsidRDefault="00C90CFD">
            <w:pPr>
              <w:jc w:val="center"/>
            </w:pPr>
          </w:p>
        </w:tc>
      </w:tr>
      <w:tr w:rsidR="00C90CFD">
        <w:trPr>
          <w:cantSplit/>
          <w:tblHeader/>
        </w:trPr>
        <w:tc>
          <w:tcPr>
            <w:tcW w:w="1667" w:type="pct"/>
            <w:tcMar>
              <w:bottom w:w="188" w:type="dxa"/>
              <w:right w:w="0" w:type="dxa"/>
            </w:tcMar>
          </w:tcPr>
          <w:p w:rsidR="00C90CFD" w:rsidRDefault="00214985">
            <w:pPr>
              <w:jc w:val="center"/>
            </w:pPr>
            <w:r>
              <w:t>HOUSE VERSION</w:t>
            </w:r>
          </w:p>
        </w:tc>
        <w:tc>
          <w:tcPr>
            <w:tcW w:w="1667" w:type="pct"/>
            <w:tcMar>
              <w:bottom w:w="188" w:type="dxa"/>
              <w:right w:w="0" w:type="dxa"/>
            </w:tcMar>
          </w:tcPr>
          <w:p w:rsidR="00C90CFD" w:rsidRDefault="00214985">
            <w:pPr>
              <w:jc w:val="center"/>
            </w:pPr>
            <w:r>
              <w:t>SENATE VERSION (CS)</w:t>
            </w:r>
          </w:p>
        </w:tc>
        <w:tc>
          <w:tcPr>
            <w:tcW w:w="1667" w:type="pct"/>
            <w:tcMar>
              <w:bottom w:w="188" w:type="dxa"/>
              <w:right w:w="0" w:type="dxa"/>
            </w:tcMar>
          </w:tcPr>
          <w:p w:rsidR="00C90CFD" w:rsidRDefault="00214985">
            <w:pPr>
              <w:jc w:val="center"/>
            </w:pPr>
            <w:r>
              <w:t>CONFERENCE</w:t>
            </w:r>
          </w:p>
        </w:tc>
      </w:tr>
      <w:tr w:rsidR="00C90CFD">
        <w:tc>
          <w:tcPr>
            <w:tcW w:w="6473" w:type="dxa"/>
          </w:tcPr>
          <w:p w:rsidR="00C90CFD" w:rsidRDefault="00214985">
            <w:pPr>
              <w:jc w:val="both"/>
            </w:pPr>
            <w:r>
              <w:t>SECTION 1.  Section 1304.151, Occupations Code, is amended by amending Subsection (b) and adding Subsection (b-1) to read as follows:</w:t>
            </w:r>
          </w:p>
          <w:p w:rsidR="00C90CFD" w:rsidRDefault="00214985">
            <w:pPr>
              <w:jc w:val="both"/>
            </w:pPr>
            <w:r>
              <w:t xml:space="preserve">(b)  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w:t>
            </w:r>
            <w:r>
              <w:rPr>
                <w:u w:val="single"/>
              </w:rPr>
              <w:t>Except as provided by Subsection (b-1), the</w:t>
            </w:r>
            <w:r>
              <w:t xml:space="preserve"> [</w:t>
            </w:r>
            <w:r>
              <w:rPr>
                <w:strike/>
              </w:rPr>
              <w:t>The</w:t>
            </w:r>
            <w:r>
              <w:t>]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C90CFD" w:rsidRDefault="00214985">
            <w:pPr>
              <w:jc w:val="both"/>
              <w:rPr>
                <w:u w:val="single"/>
              </w:rPr>
            </w:pPr>
            <w:r>
              <w:rPr>
                <w:u w:val="single"/>
              </w:rPr>
              <w:t>(b-1)  The amount of the security deposit required under Subsection (b) may not be less than $25,000 if the provider:</w:t>
            </w:r>
          </w:p>
          <w:p w:rsidR="00665D8A" w:rsidRDefault="00665D8A">
            <w:pPr>
              <w:jc w:val="both"/>
            </w:pPr>
          </w:p>
          <w:p w:rsidR="00C90CFD" w:rsidRDefault="00214985">
            <w:pPr>
              <w:jc w:val="both"/>
            </w:pPr>
            <w:r>
              <w:rPr>
                <w:u w:val="single"/>
              </w:rPr>
              <w:t>(1)  is a motor vehicle dealer licensed under Chapter 2301; and</w:t>
            </w:r>
          </w:p>
          <w:p w:rsidR="00C90CFD" w:rsidRDefault="00214985">
            <w:pPr>
              <w:jc w:val="both"/>
            </w:pPr>
            <w:r>
              <w:rPr>
                <w:u w:val="single"/>
              </w:rPr>
              <w:t>(2)  offers to sell service contracts only on motor vehicles sold by the provider.</w:t>
            </w:r>
          </w:p>
          <w:p w:rsidR="00C90CFD" w:rsidRDefault="00C90CFD">
            <w:pPr>
              <w:jc w:val="both"/>
            </w:pPr>
          </w:p>
        </w:tc>
        <w:tc>
          <w:tcPr>
            <w:tcW w:w="6480" w:type="dxa"/>
          </w:tcPr>
          <w:p w:rsidR="00C90CFD" w:rsidRDefault="00214985">
            <w:pPr>
              <w:jc w:val="both"/>
            </w:pPr>
            <w:r>
              <w:t>SECTION 1.  Section 1304.151, Occupations Code, is amended by amending Subsection (b) and adding Subsections (b-1), (b-2), and (b-3) to read as follows:</w:t>
            </w:r>
          </w:p>
          <w:p w:rsidR="00C90CFD" w:rsidRDefault="00214985">
            <w:pPr>
              <w:jc w:val="both"/>
            </w:pPr>
            <w:r>
              <w:t xml:space="preserve">(b)  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w:t>
            </w:r>
            <w:r>
              <w:rPr>
                <w:u w:val="single"/>
              </w:rPr>
              <w:t>Except as provided by Subsection (b-1), the</w:t>
            </w:r>
            <w:r>
              <w:t xml:space="preserve"> [</w:t>
            </w:r>
            <w:r>
              <w:rPr>
                <w:strike/>
              </w:rPr>
              <w:t>The</w:t>
            </w:r>
            <w:r>
              <w:t>]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C90CFD" w:rsidRDefault="00214985">
            <w:pPr>
              <w:jc w:val="both"/>
            </w:pPr>
            <w:r>
              <w:rPr>
                <w:u w:val="single"/>
              </w:rPr>
              <w:t xml:space="preserve">(b-1)  </w:t>
            </w:r>
            <w:r w:rsidRPr="00665D8A">
              <w:rPr>
                <w:highlight w:val="lightGray"/>
                <w:u w:val="single"/>
              </w:rPr>
              <w:t>Subject to Subsection (b-2),</w:t>
            </w:r>
            <w:r>
              <w:rPr>
                <w:u w:val="single"/>
              </w:rPr>
              <w:t xml:space="preserve"> the amount of the security deposit required under Subsection (b) may not be less than $25,000 if the provider:</w:t>
            </w:r>
          </w:p>
          <w:p w:rsidR="00C90CFD" w:rsidRDefault="00214985">
            <w:pPr>
              <w:jc w:val="both"/>
            </w:pPr>
            <w:r>
              <w:rPr>
                <w:u w:val="single"/>
              </w:rPr>
              <w:t>(1)  is a motor vehicle dealer licensed under Chapter 2301; and</w:t>
            </w:r>
          </w:p>
          <w:p w:rsidR="00C90CFD" w:rsidRDefault="00214985">
            <w:pPr>
              <w:jc w:val="both"/>
            </w:pPr>
            <w:r>
              <w:rPr>
                <w:u w:val="single"/>
              </w:rPr>
              <w:t>(2)  offers to sell service contracts only on motor vehicles sold by the provider.</w:t>
            </w:r>
          </w:p>
          <w:p w:rsidR="00C90CFD" w:rsidRPr="00665D8A" w:rsidRDefault="00214985">
            <w:pPr>
              <w:jc w:val="both"/>
              <w:rPr>
                <w:highlight w:val="lightGray"/>
              </w:rPr>
            </w:pPr>
            <w:r w:rsidRPr="00665D8A">
              <w:rPr>
                <w:highlight w:val="lightGray"/>
                <w:u w:val="single"/>
              </w:rPr>
              <w:t>(b-2)  The amount of the security deposit required under Subsection (b-1) is:</w:t>
            </w:r>
          </w:p>
          <w:p w:rsidR="00C90CFD" w:rsidRPr="00665D8A" w:rsidRDefault="00214985">
            <w:pPr>
              <w:jc w:val="both"/>
              <w:rPr>
                <w:highlight w:val="lightGray"/>
              </w:rPr>
            </w:pPr>
            <w:r w:rsidRPr="00665D8A">
              <w:rPr>
                <w:highlight w:val="lightGray"/>
                <w:u w:val="single"/>
              </w:rPr>
              <w:t>(1)  $25,000 for a motor vehicle dealer that generated $1,125,000 or less in annual gross revenue in this state from the sale of service contracts in the preceding year;</w:t>
            </w:r>
          </w:p>
          <w:p w:rsidR="00C90CFD" w:rsidRPr="00665D8A" w:rsidRDefault="00214985">
            <w:pPr>
              <w:jc w:val="both"/>
              <w:rPr>
                <w:highlight w:val="lightGray"/>
              </w:rPr>
            </w:pPr>
            <w:r w:rsidRPr="00665D8A">
              <w:rPr>
                <w:highlight w:val="lightGray"/>
                <w:u w:val="single"/>
              </w:rPr>
              <w:lastRenderedPageBreak/>
              <w:t>(2)  $50,000 for a motor vehicle dealer that generated more than $1,125,000 and not more than $2,500,000 in annual gross revenue in this state from the sale of service contracts in the preceding year; and</w:t>
            </w:r>
          </w:p>
          <w:p w:rsidR="00C90CFD" w:rsidRPr="00665D8A" w:rsidRDefault="00214985">
            <w:pPr>
              <w:jc w:val="both"/>
              <w:rPr>
                <w:highlight w:val="lightGray"/>
              </w:rPr>
            </w:pPr>
            <w:r w:rsidRPr="00665D8A">
              <w:rPr>
                <w:highlight w:val="lightGray"/>
                <w:u w:val="single"/>
              </w:rPr>
              <w:t>(3)  $75,000 for a motor vehicle dealer that generated more than $2,500,000 in annual gross revenue in this state from the sale of service contracts in the preceding year.</w:t>
            </w:r>
          </w:p>
          <w:p w:rsidR="00C90CFD" w:rsidRDefault="00214985">
            <w:pPr>
              <w:jc w:val="both"/>
            </w:pPr>
            <w:r w:rsidRPr="00665D8A">
              <w:rPr>
                <w:highlight w:val="lightGray"/>
                <w:u w:val="single"/>
              </w:rPr>
              <w:t>(b-3)  If a motor vehicle dealer described by Subsection (b-1) has no gross revenue in this state from the sale of service contracts in the preceding year, the security deposit shall be $25,000.</w:t>
            </w:r>
          </w:p>
          <w:p w:rsidR="00C90CFD" w:rsidRDefault="00C90CFD">
            <w:pPr>
              <w:jc w:val="both"/>
            </w:pPr>
          </w:p>
        </w:tc>
        <w:tc>
          <w:tcPr>
            <w:tcW w:w="5760" w:type="dxa"/>
          </w:tcPr>
          <w:p w:rsidR="00C90CFD" w:rsidRDefault="00C90CFD">
            <w:pPr>
              <w:jc w:val="both"/>
            </w:pPr>
          </w:p>
        </w:tc>
      </w:tr>
      <w:tr w:rsidR="00C90CFD">
        <w:tc>
          <w:tcPr>
            <w:tcW w:w="6473" w:type="dxa"/>
          </w:tcPr>
          <w:p w:rsidR="00C90CFD" w:rsidRDefault="00214985">
            <w:pPr>
              <w:jc w:val="both"/>
            </w:pPr>
            <w:r>
              <w:t>SECTION 2.  This Act takes effect September 1, 2019.</w:t>
            </w:r>
          </w:p>
          <w:p w:rsidR="00C90CFD" w:rsidRDefault="00C90CFD">
            <w:pPr>
              <w:jc w:val="both"/>
            </w:pPr>
          </w:p>
        </w:tc>
        <w:tc>
          <w:tcPr>
            <w:tcW w:w="6480" w:type="dxa"/>
          </w:tcPr>
          <w:p w:rsidR="00C90CFD" w:rsidRDefault="00214985">
            <w:pPr>
              <w:jc w:val="both"/>
            </w:pPr>
            <w:r>
              <w:t>SECTION 2. Same as House version.</w:t>
            </w:r>
          </w:p>
          <w:p w:rsidR="00C90CFD" w:rsidRDefault="00C90CFD">
            <w:pPr>
              <w:jc w:val="both"/>
            </w:pPr>
          </w:p>
          <w:p w:rsidR="00C90CFD" w:rsidRDefault="00C90CFD">
            <w:pPr>
              <w:jc w:val="both"/>
            </w:pPr>
          </w:p>
        </w:tc>
        <w:tc>
          <w:tcPr>
            <w:tcW w:w="5760" w:type="dxa"/>
          </w:tcPr>
          <w:p w:rsidR="00C90CFD" w:rsidRDefault="00C90CFD">
            <w:pPr>
              <w:jc w:val="both"/>
            </w:pPr>
          </w:p>
        </w:tc>
      </w:tr>
    </w:tbl>
    <w:p w:rsidR="00CD6F8F" w:rsidRDefault="00CD6F8F"/>
    <w:sectPr w:rsidR="00CD6F8F" w:rsidSect="00C90CF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FD" w:rsidRDefault="00C90CFD" w:rsidP="00C90CFD">
      <w:r>
        <w:separator/>
      </w:r>
    </w:p>
  </w:endnote>
  <w:endnote w:type="continuationSeparator" w:id="0">
    <w:p w:rsidR="00C90CFD" w:rsidRDefault="00C90CFD" w:rsidP="00C9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25" w:rsidRDefault="003E6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FD" w:rsidRDefault="004E740B">
    <w:pPr>
      <w:tabs>
        <w:tab w:val="center" w:pos="9360"/>
        <w:tab w:val="right" w:pos="18720"/>
      </w:tabs>
    </w:pPr>
    <w:r>
      <w:fldChar w:fldCharType="begin"/>
    </w:r>
    <w:r>
      <w:instrText xml:space="preserve"> DOCPROPERTY  CCRF  \* MERGEFORMAT </w:instrText>
    </w:r>
    <w:r>
      <w:fldChar w:fldCharType="separate"/>
    </w:r>
    <w:r w:rsidR="009E31EA">
      <w:t xml:space="preserve"> </w:t>
    </w:r>
    <w:r>
      <w:fldChar w:fldCharType="end"/>
    </w:r>
    <w:r w:rsidR="00214985">
      <w:tab/>
    </w:r>
    <w:r w:rsidR="00C90CFD">
      <w:fldChar w:fldCharType="begin"/>
    </w:r>
    <w:r w:rsidR="00214985">
      <w:instrText xml:space="preserve"> PAGE </w:instrText>
    </w:r>
    <w:r w:rsidR="00C90CFD">
      <w:fldChar w:fldCharType="separate"/>
    </w:r>
    <w:r>
      <w:rPr>
        <w:noProof/>
      </w:rPr>
      <w:t>2</w:t>
    </w:r>
    <w:r w:rsidR="00C90CFD">
      <w:fldChar w:fldCharType="end"/>
    </w:r>
    <w:r w:rsidR="00214985">
      <w:tab/>
    </w:r>
    <w:r w:rsidR="00E30825">
      <w:fldChar w:fldCharType="begin"/>
    </w:r>
    <w:r w:rsidR="00E30825">
      <w:instrText xml:space="preserve"> DOCPROPERTY  OTID  \* MERGEFORMAT </w:instrText>
    </w:r>
    <w:r w:rsidR="00E3082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25" w:rsidRDefault="003E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FD" w:rsidRDefault="00C90CFD" w:rsidP="00C90CFD">
      <w:r>
        <w:separator/>
      </w:r>
    </w:p>
  </w:footnote>
  <w:footnote w:type="continuationSeparator" w:id="0">
    <w:p w:rsidR="00C90CFD" w:rsidRDefault="00C90CFD" w:rsidP="00C9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25" w:rsidRDefault="003E6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25" w:rsidRDefault="003E6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25" w:rsidRDefault="003E6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FD"/>
    <w:rsid w:val="000012A0"/>
    <w:rsid w:val="00214985"/>
    <w:rsid w:val="003E6125"/>
    <w:rsid w:val="004E740B"/>
    <w:rsid w:val="00665D8A"/>
    <w:rsid w:val="009E31EA"/>
    <w:rsid w:val="00C90CFD"/>
    <w:rsid w:val="00CD6F8F"/>
    <w:rsid w:val="00E3082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E78CD-D283-44D1-A09F-25F27F12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125"/>
    <w:pPr>
      <w:tabs>
        <w:tab w:val="center" w:pos="4680"/>
        <w:tab w:val="right" w:pos="9360"/>
      </w:tabs>
    </w:pPr>
  </w:style>
  <w:style w:type="character" w:customStyle="1" w:styleId="HeaderChar">
    <w:name w:val="Header Char"/>
    <w:basedOn w:val="DefaultParagraphFont"/>
    <w:link w:val="Header"/>
    <w:uiPriority w:val="99"/>
    <w:rsid w:val="003E6125"/>
    <w:rPr>
      <w:sz w:val="22"/>
    </w:rPr>
  </w:style>
  <w:style w:type="paragraph" w:styleId="Footer">
    <w:name w:val="footer"/>
    <w:basedOn w:val="Normal"/>
    <w:link w:val="FooterChar"/>
    <w:uiPriority w:val="99"/>
    <w:unhideWhenUsed/>
    <w:rsid w:val="003E6125"/>
    <w:pPr>
      <w:tabs>
        <w:tab w:val="center" w:pos="4680"/>
        <w:tab w:val="right" w:pos="9360"/>
      </w:tabs>
    </w:pPr>
  </w:style>
  <w:style w:type="character" w:customStyle="1" w:styleId="FooterChar">
    <w:name w:val="Footer Char"/>
    <w:basedOn w:val="DefaultParagraphFont"/>
    <w:link w:val="Footer"/>
    <w:uiPriority w:val="99"/>
    <w:rsid w:val="003E61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HB4120-SAA</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HB4120-SAA</dc:title>
  <dc:subject/>
  <dc:creator>Hanna Brumbelow</dc:creator>
  <cp:keywords/>
  <dc:description/>
  <cp:lastModifiedBy>Hanna Brumbelow</cp:lastModifiedBy>
  <cp:revision>2</cp:revision>
  <dcterms:created xsi:type="dcterms:W3CDTF">2019-05-23T16:11:00Z</dcterms:created>
  <dcterms:modified xsi:type="dcterms:W3CDTF">2019-05-23T16:11:00Z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