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87S10057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disposition by a peace officer of certain Class B misdemeanors.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14.06(a),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article </w:t>
      </w:r>
      <w:r>
        <w:rPr>
          <w:u w:val="single"/>
        </w:rPr>
        <w:t xml:space="preserve">or Article 14.07</w:t>
      </w:r>
      <w:r>
        <w:t xml:space="preserve">, in each case enumerated in this Code, the person making the arrest or the person having custody of the person arrested shall take the person arrested or have </w:t>
      </w:r>
      <w:r>
        <w:rPr>
          <w:u w:val="single"/>
        </w:rPr>
        <w:t xml:space="preserve">that person</w:t>
      </w:r>
      <w:r>
        <w:t xml:space="preserve"> </w:t>
      </w:r>
      <w:r>
        <w:t xml:space="preserve">[</w:t>
      </w:r>
      <w:r>
        <w:rPr>
          <w:strike/>
        </w:rPr>
        <w:t xml:space="preserve">him</w:t>
      </w:r>
      <w:r>
        <w:t xml:space="preserve">] taken without unnecessary delay, but not later than 48 hours after the person is arrested, before the magistrate who may have ordered the arrest, before some magistrate of the county where the arrest was made without an order, or, to provide more expeditiously to the person arrested the warnings described by Article 15.17 [</w:t>
      </w:r>
      <w:r>
        <w:rPr>
          <w:strike/>
        </w:rPr>
        <w:t xml:space="preserve">of this Code</w:t>
      </w:r>
      <w:r>
        <w:t xml:space="preserve">], before a magistrate in any other county of this state. The magistrate shall immediately perform the duties described in Article 15.17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14, Code of Criminal Procedure, is amended by adding Article 14.07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14.07.</w:t>
      </w:r>
      <w:r>
        <w:rPr>
          <w:u w:val="single"/>
        </w:rPr>
        <w:t xml:space="preserve"> </w:t>
      </w:r>
      <w:r>
        <w:rPr>
          <w:u w:val="single"/>
        </w:rPr>
        <w:t xml:space="preserve"> </w:t>
      </w:r>
      <w:r>
        <w:rPr>
          <w:u w:val="single"/>
        </w:rPr>
        <w:t xml:space="preserve">DISPOSITION WITHOUT TAKING OFFENDER BEFORE MAGISTRATE.  (a)  A peace officer may dispose of a case based on a Class B misdemeanor without taking the alleged offender before a magistrate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disposition is authorized by and is performed in accordance with guidelines adopted by 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district judges trying criminal cases in each judicial district of the county in which the alleged offender is arrested and the statutory county court judges trying criminal cases in the county or counties served by the judicial districts;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community justice council serving the county in which the alleged offender is arrested;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peace officer makes a written report of the officer's disposition to the law enforcement agency employing the officer, identifying the alleged offender and specifying the grounds for the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article does not apply to a Class B misdemeanor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22.01, 25.04, 37.12, 38.02, 42.01, 42.02, 49.04, 49.05, 49.06, or 49.065, Penal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545.421, Transportation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Guidelines adopted under Subsection (a)(1) may allow a peace officer to dispose of a case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referring an alleged offender to a governmental agency other than a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referring an alleged offender to one or more service providers on a list approved by the judges or the community justice council that adopted the guidelines, such as a community-based drug or mental health treatment program, a faith-based organization, a neighborhood restorative justice panel, or a homeless shelter;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issuing a warning.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Guidelines adopted under Subsection (a)(1) may not allow a law enforcement agency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keep an alleged offender in custody;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an alleged offender to report periodically to a peace officer or a law enforcement agency or any other governmental agency.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January 31 of each year, a law enforcement agency that is authorized to dispose of a case by guidelines adopted under Subsection (a)(1) must report to the judges or the community justice council that adopted the guidelines the number and kind of dispositions made during the preceding calendar year by the law enforcement agency and any other information requested by the judges or council.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