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87S10055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offenses committed in a vehicle operated by a public transportation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Penal Code, is amended by adding Section 12.502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12.502.</w:t>
      </w:r>
      <w:r>
        <w:rPr>
          <w:u w:val="single"/>
        </w:rPr>
        <w:t xml:space="preserve"> </w:t>
      </w:r>
      <w:r>
        <w:rPr>
          <w:u w:val="single"/>
        </w:rPr>
        <w:t xml:space="preserve"> </w:t>
      </w:r>
      <w:r>
        <w:rPr>
          <w:u w:val="single"/>
        </w:rPr>
        <w:t xml:space="preserve">PENALTY IF OFFENSE COMMITTED IN PUBLIC TRANSPORTATION VEHICLE.  (a) </w:t>
      </w:r>
      <w:r>
        <w:rPr>
          <w:u w:val="single"/>
        </w:rPr>
        <w:t xml:space="preserve"> </w:t>
      </w:r>
      <w:r>
        <w:rPr>
          <w:u w:val="single"/>
        </w:rPr>
        <w:t xml:space="preserve">Subject to Subsection (c), the punishment for an offense described by Subsection (b) is increased to the punishment prescribed for the next higher category of offense if it is shown on the trial of the offense that the offense was committed in a vehicle operated by an authority created under Chapter 451, 452, 453, 457, 458, or 460,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increase in punishment authorized by this section applies only to an offense under Chapter 21, 22, or 29.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offense described by Subsection (b) is punishable as a Class A misdemeanor, the minimum term of confinement for the offense is increased to 180 days.  If an offense described by Subsection (b) is punishable as a felony of the first degree, the punishment for that offense may not be increased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this section, "vehicle" means a bus, a railcar, rolling stock, or another vehicle used by the public for mass transit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