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87S10113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polling place at which the person would be allowed to vote if registered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executes an affidavit stating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vote in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