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87S10407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secretary of state posting on the secretary of state's Internet website databases containing certain information about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4.003, Election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The authority responsible for giving notice of the election shall deliver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the secretary of state</w:t>
      </w:r>
      <w:r xml:space="preserve">
        <w:t> </w:t>
      </w:r>
      <w:r>
        <w:t xml:space="preserve">a copy of the notice of a consolidated precinct required by Subsection (b) not later than the date of the election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January of each year information for the secretary of state's database of election information under Section 31.017 in an electronic format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authority is a county or political party, as required by the secretary of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authority is a political subdivision other than a county, to the county in which the authority is located</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county receiving information under Subsection (e)(2)(B) shall forward the information to the secretary of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31, Election Code, is amended by adding Sections 31.017 and 31.018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31.017.</w:t>
      </w:r>
      <w:r>
        <w:rPr>
          <w:u w:val="single"/>
        </w:rPr>
        <w:t xml:space="preserve"> </w:t>
      </w:r>
      <w:r>
        <w:rPr>
          <w:u w:val="single"/>
        </w:rPr>
        <w:t xml:space="preserve"> </w:t>
      </w:r>
      <w:r>
        <w:rPr>
          <w:u w:val="single"/>
        </w:rPr>
        <w:t xml:space="preserve">INTERNET DATABASE OF ELECTION INFORMATION.  (a)  The secretary of state shall post on the secretary of state's public Internet website a database containing information provided under Sections 4.003(e) and (e-1). </w:t>
      </w:r>
      <w:r>
        <w:rPr>
          <w:u w:val="single"/>
        </w:rPr>
        <w:t xml:space="preserve"> </w:t>
      </w:r>
      <w:r>
        <w:rPr>
          <w:u w:val="single"/>
        </w:rPr>
        <w:t xml:space="preserve">The database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office to be filled at the election;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office is elected at large or by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dates of the preceding and next election for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31.018.</w:t>
      </w:r>
      <w:r>
        <w:rPr>
          <w:u w:val="single"/>
        </w:rPr>
        <w:t xml:space="preserve"> </w:t>
      </w:r>
      <w:r>
        <w:rPr>
          <w:u w:val="single"/>
        </w:rPr>
        <w:t xml:space="preserve"> </w:t>
      </w:r>
      <w:r>
        <w:rPr>
          <w:u w:val="single"/>
        </w:rPr>
        <w:t xml:space="preserve">INTERNET DATABASE FOR INCUMBENTS AND CANDIDATES.  (a)  The secretary of state shall post on the secretary of state's Internet website a database containing information about each holder of and candidate for any partisan elected office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must include the following information about a holder of a partisan elected office, the office of mayor, or a position on the governing body of a city: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title, including any district, place, or position and a notation that the person is an incumbent;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office is elected at large or by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date of the previous and next election for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public mailing address;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public telephone number, if available;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public e-mail address, if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must include the following information about a candidate for a partisan elected office, the office of mayor, or a position on the governing body of a city: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sought, including any district, place, or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office is elected at large or by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date of the election;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public  mailing address;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public telephone number, if available;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public e-mail address, if available;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the candidate has filed as a write-in candidate.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with whom a declaration of candidacy is filed, a state or county chair of a political party, or the presiding officer of a political party's convention shall provide information about a candidate or officeholder to the secretary of state. </w:t>
      </w:r>
      <w:r>
        <w:rPr>
          <w:u w:val="single"/>
        </w:rPr>
        <w:t xml:space="preserve"> </w:t>
      </w:r>
      <w:r>
        <w:rPr>
          <w:u w:val="single"/>
        </w:rPr>
        <w:t xml:space="preserve">A political subdivision shall provide information about a candidate or officeholder to the county in which the political subdivision is located and the county shall forward that information to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shall make the name, office, and party affiliation of the holder of a partisan elected office, the office of mayor, or a position on the governing body of a city available on the secretary of state's Internet website for as long as the person holds that office.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secretary of state shall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141.032, Election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county or political party with whom an application is filed shall provide the secretary of state with the candidate's information required for the secretary of state's Internet website under Section 31.018. </w:t>
      </w:r>
      <w:r>
        <w:rPr>
          <w:u w:val="single"/>
        </w:rPr>
        <w:t xml:space="preserve"> </w:t>
      </w:r>
      <w:r>
        <w:rPr>
          <w:u w:val="single"/>
        </w:rPr>
        <w:t xml:space="preserve">A political subdivision with whom an application is filed shall provide the candidate's information to the county in which the political subdivision is located and the county shall forward the candidate's information to the secretary of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