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87S10247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regarding inadequate power supply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39.919.</w:t>
      </w:r>
      <w:r>
        <w:rPr>
          <w:u w:val="single"/>
        </w:rPr>
        <w:t xml:space="preserve"> </w:t>
      </w:r>
      <w:r>
        <w:rPr>
          <w:u w:val="single"/>
        </w:rPr>
        <w:t xml:space="preserve"> </w:t>
      </w:r>
      <w:r>
        <w:rPr>
          <w:u w:val="single"/>
        </w:rPr>
        <w:t xml:space="preserve">POWER SUPPLY REPORT.  (a) </w:t>
      </w:r>
      <w:r>
        <w:rPr>
          <w:u w:val="single"/>
        </w:rPr>
        <w:t xml:space="preserve"> </w:t>
      </w:r>
      <w:r>
        <w:rPr>
          <w:u w:val="single"/>
        </w:rPr>
        <w:t xml:space="preserve">If the independent organization certified under Section 39.151 for the ERCOT power region determines that the power supply in the ERCOT power region is or may be inadequate to meet demand, the independent organization shall submit a written report on the determination to the commission not later than 24 hours after making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submitted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explanation of why the power supply is or may be inadequate;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estimated duration for any power outages caused by the inadequate power supply or potential power outages that may be caused by the inadequate power supply.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