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of certain property from municipal drainage service charges.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552.053, Local Government Code, is amended by adding Subsections (d-2) and (d-3)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exempt property from all or a portion of drainage charges under Section 552.047 if the property is used as the principal residence of an individual who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disabled as defined by Section 11.13(m), Tax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65 years of age or older;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veteran of the armed services of the United States;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armed services of the United States on active deployment.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may impose additional eligibility requirements for an exemption authorized under Subsection (d-2).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