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(a)  Notwithstanding any other law, the commission shall provide medical assistance to all persons who apply for that assistance and for whom 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January 1, 2022,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1st Called Session, 2021,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