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and prohibited cooperation by state and local entities with certain federal acts that violate the United States Constitution.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 794.  IDENTIFICATION OF AND PROHIBITED COOPERATION WITH CERTAIN UNCONSTITUTIONAL ACTS OF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has the meaning assigned by Section 791.003.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751.001.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REVIEW OF EXECUTIVE ORDERS.  (a)  On the last day of each month, the attorney general shall provide a written report to the governor, the lieutenant governor, the speaker of the house of representatives, and each member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each rule adopted by a federal government agency during the previous month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border security;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pandemics or other health emergencies;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regulation of natural resources, including coal and oil;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regulation of the agriculture industry;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use of land;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regulation of the financial sector as it relates to environmental, social, or governance standards;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regulation of the constitutional right to keep and bear arms;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free exercise of religion, including the congregating of religious practitioners;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adopted in response to an executive order by the president of the United States;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violates the rights guaranteed to the citizens of the United States by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status of any lawsuit filed against the federal government relating to a rule identified by any report prepared under this section, including whether a court has found the rule to violate the rights guaranteed to the citizens of the United States by the United States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publish any report prepared under this section on the attorney general's website and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COOPERATION WITH UNCONSTITUTIONAL ACTS.  </w:t>
      </w:r>
      <w:r>
        <w:rPr>
          <w:u w:val="single"/>
        </w:rPr>
        <w:t xml:space="preserve">Notwithstanding any other law, a state agency or political subdivision may not cooperate with a federal government agency in implementing an agency rule that a report published under Section 794.002 indicates has been found by a federal court in a decision that has not been stayed, reversed, or overruled to violate the rights guaranteed to the citizens of the United States by the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INJUNCTIVE RELIEF.  The attorney general may bring an action in a district court in Travis County or in a county in which the political subdivision is located to enjoin a violation of Section 794.003.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