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87S10432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and deposit of certain surplus state revenue to the property tax relief fund for use in reducing school district maintenance and operations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403.109, Government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allocate for deposit to the credit of the fund general revenue in an amount equal to 90 percent of the amount by which the amount of general revenue received in a state fiscal biennium exceeds 104 percent of the total amount of general revenue that was received during the preceding state fiscal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deposit to the credit of the fund the general revenue allocated under Subdivision (1), with the final deposit for that biennium to be made not later than the 90th day of the next state fiscal biennium.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money deposited to the credit of the fund under Subsection (e) may be appropriated only to the Texas Education Agency for use in providing property tax relief through reduction of the state compression percentage, as defined by Section 48.255,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state fiscal biennium beginning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