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87S10328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emergency and other notices by a governmental entity on the entity's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2051, Government Code, as redesignated from Subchapter E, Chapter 2051, Government Code, by H.B. 1154 and H.B. 3607, Acts of the 87th Legislature, Regular Session, 2021, and as effective September 1, 2021, is amended by adding Section 2051.203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2051.203.</w:t>
      </w:r>
      <w:r>
        <w:rPr>
          <w:u w:val="single"/>
        </w:rPr>
        <w:t xml:space="preserve"> </w:t>
      </w:r>
      <w:r>
        <w:rPr>
          <w:u w:val="single"/>
        </w:rPr>
        <w:t xml:space="preserve"> </w:t>
      </w:r>
      <w:r>
        <w:rPr>
          <w:u w:val="single"/>
        </w:rPr>
        <w:t xml:space="preserve">REQUIRED POSTING OF NOTICE.  (a) In this section "governmental entity" has the meaning assigned by Section 2051.041.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shall post in a prominent location on the home page of the entity's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emergency notification issued by the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official notice issued by the entity, including notices regarding the entity's ability or inability to provide services the entity normally provides to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December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