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87S10403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days and hours for voting during the early voting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50,000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Voting shall be conducted in accordance with this subsection in those elections in a county with a population under </w:t>
      </w:r>
      <w:r>
        <w:rPr>
          <w:u w:val="single"/>
        </w:rPr>
        <w:t xml:space="preserve">50,000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w:t>
      </w:r>
      <w:r>
        <w:rPr>
          <w:u w:val="single"/>
        </w:rPr>
        <w:t xml:space="preserve">not later than the 60th day before the date early voting begins</w:t>
      </w:r>
      <w:r>
        <w:t xml:space="preserve"> [</w:t>
      </w:r>
      <w:r>
        <w:rPr>
          <w:strike/>
        </w:rPr>
        <w:t xml:space="preserve">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50,000</w:t>
      </w:r>
      <w:r>
        <w:t xml:space="preserve"> [</w:t>
      </w:r>
      <w:r>
        <w:rPr>
          <w:strike/>
        </w:rPr>
        <w:t xml:space="preserve">100,000</w:t>
      </w:r>
      <w:r>
        <w:t xml:space="preserve">]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w:t>
      </w:r>
      <w:r>
        <w:rPr>
          <w:u w:val="single"/>
        </w:rPr>
        <w:t xml:space="preserve">50,000</w:t>
      </w:r>
      <w:r>
        <w:t xml:space="preserve"> [</w:t>
      </w:r>
      <w:r>
        <w:rPr>
          <w:strike/>
        </w:rPr>
        <w:t xml:space="preserve">100,000</w:t>
      </w:r>
      <w:r>
        <w:t xml:space="preserve">] on receipt of a written request for those hours submitted by at least 15 registered voters of the county.  The request must be submitted </w:t>
      </w:r>
      <w:r>
        <w:rPr>
          <w:u w:val="single"/>
        </w:rPr>
        <w:t xml:space="preserve">not later than the 60th day before the date early voting begins</w:t>
      </w:r>
      <w:r>
        <w:t xml:space="preserve"> [</w:t>
      </w:r>
      <w:r>
        <w:rPr>
          <w:strike/>
        </w:rPr>
        <w:t xml:space="preserve">in time to enable compliance with Section 85.007</w:t>
      </w:r>
      <w:r>
        <w:t xml:space="preserve">].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