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2210, Insurance Code, is amended by adding Section 2210.063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2210.063.</w:t>
      </w:r>
      <w:r>
        <w:rPr>
          <w:u w:val="single"/>
        </w:rPr>
        <w:t xml:space="preserve"> </w:t>
      </w:r>
      <w:r>
        <w:rPr>
          <w:u w:val="single"/>
        </w:rPr>
        <w:t xml:space="preserve"> </w:t>
      </w:r>
      <w:r>
        <w:rPr>
          <w:u w:val="single"/>
        </w:rPr>
        <w:t xml:space="preserve">LOCATION OF ASSOCIATION HEADQUARTERS.  The headquarters of the association must be located in a first tier coastal county or second tier coastal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2210.063, Insurance Code, as added by this Act, applies to the Texas Windstorm Insurance Association beginning on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