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175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charges imposed by a governmental body for providing copies of campaign finance reports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552.261,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body may not impose a charge under this subchapter for providing a copy of public information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is a report required to be filed with the governmental body under Subchapter C or D, Chapter 254, Election Code, unless all of those reports filed with the governmental body during the preceding three years are available to the public on the governmental body's Internet website;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body fails to disclose the information on or before the 10th business day after the date of receiving the requestor's written request, unless the governmental body: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sends a written request for clarification under Section 552.222(b);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requests a decision from the attorney general under Section 552.301;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governmental body requests a decision from the attorney general under Section 552.301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governmental body fails to comply with Subsection (d) of that 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attorney general determines the requested information must be disclosed.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public information received by a governmental body or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