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87S10162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separation based on biological sex of athletics teams sponsored by a public school or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33, Education Code, is amended by adding Section 33.0815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33.0815.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SEPARATION OF ATHLETICS TEAMS BASED ON BIOLOGICAL SEX.  (a) Each interscholastic, intramural, or other extracurricular athletic team sponsored by a school district or open-enrollment charter school shall be designated for participation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only students of the same biological sex;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of both biological sexes.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biologically male student may not participate in an athletic team described by Subsection (a) that is designated for participation by only biologically female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Interscholastic League, a state agency, or a political subdivision of the state may not take adverse action against a school district or open-enrollment charter school for complying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may bring an action for relief as provided by Subsection (f) if the student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deprived of an athletic opportunity or suffers harm as a result of a violation of this section by a school district or open-enrollment charter school;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retaliation or other adverse action by a school district or open-enrollment charter school or the University Interscholastic League as a result of reporting a violation of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bring an action for relief as provided by Subsection (f) if the district or school suffers harm as a result of a violation of this section by the University Interscholastic League, a state agency, or a political subdivision of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student, school district, or open-enrollment charter school that brings an action for relief under this section may receive: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 to compel the applicable entity to comply with this section;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compensatory damages;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court costs and reasonable attorney's fees.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under this section must be brought not later than two years after the date on which the conduct giving rise to the action is alleged to have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SEPARATION OF ATHLETICS TEAMS BASED ON BIOLOGICAL SEX.  (a) 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interscholastic, intramural, or other extracurricular athletic team sponsored by an institution of higher education shall be designated for participation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only students of the same biological sex;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of both biological sexes.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biologically male student may not participate in an athletic team described by Subsection (b) that is designated for participation by only biologically female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or political subdivision of the state may not take adverse action against an institution of higher education for complying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may bring an action for relief as provided by Subsection (g) if the student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deprived of an athletic opportunity or suffers harm as a result of a violation of this section by an institution of higher education;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retaliation or other adverse action by an institution of higher education as a result of reporting a violation of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may bring an action for relief as provided by Subsection (g) if the institution suffers harm as a result of a violation of this section by a state agency or  political subdivision of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or institution of higher education that brings an action for relief under this section may receive: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 to compel the applicable entity to comply with this section;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compensatory damages;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court costs and reasonable attorney's fees.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under this section must be brought not later than two years after the date on which the conduct giving rise to the action is alleged to have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Section 33.0815, Education Code, as added by this Act,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51.980, Education Code, as added by this Act, applies beginning with the 2021-2022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