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task force on asylum-seeking migrants.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TASK FORCE ON ASYLUM-SEEKING MIGRANTS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"Asylum-seeking migrant" means a person who is seeking asylum in the United States and who has been released into a community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Refugee Resettlement;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United States Customs and Border Protection or United States Immigration and Customs Enforcement, pending an immigration hearing;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Department of Public Safety;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state or federal law enforcement agency stationed at the border.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task force on asylum-seeking migrants.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ESTABLISHMENT; PURPOSES.  The task force on asylum-seeking migrants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humanitarian and fiscal impacts of the presence of asylum-seeking migrants in this state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education and school districts;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open-enrollment charter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provision of health and human services and child protection;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Texas Department of Criminal Justice as well as the Texas Juvenile Justice Department, issues studied by the Task Force shall include, but is not limited to, information pertaining to:</w:t>
      </w:r>
    </w:p>
    <w:p w:rsidR="003F3435" w:rsidRDefault="0032493E">
      <w:pPr>
        <w:spacing w:line="480" w:lineRule="auto"/>
        <w:ind w:firstLine="2880"/>
        <w:jc w:val="both"/>
      </w:pPr>
      <w:r>
        <w:rPr>
          <w:u w:val="single"/>
        </w:rPr>
        <w:t xml:space="preserve">(f-1)</w:t>
      </w:r>
      <w:r>
        <w:rPr>
          <w:u w:val="single"/>
        </w:rPr>
        <w:t xml:space="preserve"> </w:t>
      </w:r>
      <w:r>
        <w:rPr>
          <w:u w:val="single"/>
        </w:rPr>
        <w:t xml:space="preserve"> </w:t>
      </w:r>
      <w:r>
        <w:rPr>
          <w:u w:val="single"/>
        </w:rPr>
        <w:t xml:space="preserve">human trafficking;</w:t>
      </w:r>
    </w:p>
    <w:p w:rsidR="003F3435" w:rsidRDefault="0032493E">
      <w:pPr>
        <w:spacing w:line="480" w:lineRule="auto"/>
        <w:ind w:firstLine="2880"/>
        <w:jc w:val="both"/>
      </w:pPr>
      <w:r>
        <w:rPr>
          <w:u w:val="single"/>
        </w:rPr>
        <w:t xml:space="preserve">(f-2)</w:t>
      </w:r>
      <w:r>
        <w:rPr>
          <w:u w:val="single"/>
        </w:rPr>
        <w:t xml:space="preserve"> </w:t>
      </w:r>
      <w:r>
        <w:rPr>
          <w:u w:val="single"/>
        </w:rPr>
        <w:t xml:space="preserve"> </w:t>
      </w:r>
      <w:r>
        <w:rPr>
          <w:u w:val="single"/>
        </w:rPr>
        <w:t xml:space="preserve">sex trafficking; and</w:t>
      </w:r>
    </w:p>
    <w:p w:rsidR="003F3435" w:rsidRDefault="0032493E">
      <w:pPr>
        <w:spacing w:line="480" w:lineRule="auto"/>
        <w:ind w:firstLine="2880"/>
        <w:jc w:val="both"/>
      </w:pPr>
      <w:r>
        <w:rPr>
          <w:u w:val="single"/>
        </w:rPr>
        <w:t xml:space="preserve">(f-3)</w:t>
      </w:r>
      <w:r>
        <w:rPr>
          <w:u w:val="single"/>
        </w:rPr>
        <w:t xml:space="preserve"> </w:t>
      </w:r>
      <w:r>
        <w:rPr>
          <w:u w:val="single"/>
        </w:rPr>
        <w:t xml:space="preserve"> </w:t>
      </w:r>
      <w:r>
        <w:rPr>
          <w:u w:val="single"/>
        </w:rPr>
        <w:t xml:space="preserve">sexual assault;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areas the Task Force determines to be relevant in the production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 a report outlining the status of asylum-seeking migrants in this state and distribute that report to state officials.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COMPOSITION.  The task force is composed of twelve members to be appointed by the comptroller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 faith-based organization providing direct services to asylum-seeking migrants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community-based organization providing direct services to asylum-seeking migrants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superintendent of a school district from the border region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Education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of the comptroller;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of the Texas Higher Education Coordination Board;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of the Texas Department of Criminal Justice;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of the Texas Juvenile Justice Department;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from the Texas House and Texas Senate who represent a region of the border.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MEETINGS.  (a)  The task force shall meet at least three times each year and may hold additional meetings in person or by conference call if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551.125 applies to a meeting held by conference call under this section, except that Section 551.125(b) does not apply.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COMPENSATION.  A member of the task force may not receive compensation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REPORT.  (a)  Using funds available to the task force under Section 403.507, the task force shall partner with an independent third party to produce a report outlining the status of asylum-seeking migrants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submit the report to the governor, lieutenant governor, speaker of the house of representatives, and comptroller no later than December 1, 2022 and December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403.507.</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comptroller may accept on behalf of the task force a gift, grant, or donation from any source to carry out the purposes of this subchapter. Notwithstanding any other provision of this subchapter, the comptroller is not required to convene the task force to produce the report if sufficient private gifts, grants, or donations are not available.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403.508.</w:t>
      </w:r>
      <w:r>
        <w:rPr>
          <w:u w:val="single"/>
        </w:rPr>
        <w:t xml:space="preserve"> </w:t>
      </w:r>
      <w:r>
        <w:rPr>
          <w:u w:val="single"/>
        </w:rPr>
        <w:t xml:space="preserve"> </w:t>
      </w:r>
      <w:r>
        <w:rPr>
          <w:u w:val="single"/>
        </w:rPr>
        <w:t xml:space="preserve">EXPIRATION.  The task force is abolished and this subchapter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2021, the comptroller of public accounts shall, subject to Section 403.507, Government Code, as added by this Act, convene the task force required under Subchapter R, Chapter 403,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