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87S10226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extending the eligibility of certain students to participate in a school district's special education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29.003, Education Code, is amended by adding Subsections (c) and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student is eligible to participate in a school district's special education program under this subchapter for one school year after the student's 21st birthday if the student: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enrolled in a school district's special education program during the 2019-2020, 2020-2021, 2021-2022, or 2022-2023 school year and reaches 21 years of age during that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an impairment or disability described by Subsection (b)(1) or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