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Crockett</w:t>
      </w:r>
      <w:r xml:space="preserve">
        <w:tab wTab="150" tlc="none" cTlc="0"/>
      </w:r>
      <w:r>
        <w:t xml:space="preserve">H.B.</w:t>
      </w:r>
      <w:r xml:space="preserve">
        <w:t> </w:t>
      </w:r>
      <w:r>
        <w:t xml:space="preserve">No.</w:t>
      </w:r>
      <w:r xml:space="preserve">
        <w:t> </w:t>
      </w:r>
      <w:r>
        <w:t xml:space="preserve">196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a defendant when the state is not ready for trial.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17.151, Code of Criminal Procedure,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 defendant who is detained in jail pending trial of an accusation against </w:t>
      </w:r>
      <w:r>
        <w:rPr>
          <w:u w:val="single"/>
        </w:rPr>
        <w:t xml:space="preserve">the defendant</w:t>
      </w:r>
      <w:r>
        <w:t xml:space="preserve"> [</w:t>
      </w:r>
      <w:r>
        <w:rPr>
          <w:strike/>
        </w:rPr>
        <w:t xml:space="preserve">him</w:t>
      </w:r>
      <w:r>
        <w:t xml:space="preserve">] must be released either on personal bond or by reducing the amount of bail required, if the state is not ready for trial of the criminal action for which </w:t>
      </w:r>
      <w:r>
        <w:rPr>
          <w:u w:val="single"/>
        </w:rPr>
        <w:t xml:space="preserve">the defendant</w:t>
      </w:r>
      <w:r>
        <w:t xml:space="preserve"> [</w:t>
      </w:r>
      <w:r>
        <w:rPr>
          <w:strike/>
        </w:rPr>
        <w:t xml:space="preserve">he</w:t>
      </w:r>
      <w:r>
        <w:t xml:space="preserve">] is being detained within:</w:t>
      </w:r>
    </w:p>
    <w:p w:rsidR="003F3435" w:rsidRDefault="0032493E">
      <w:pPr>
        <w:spacing w:line="480" w:lineRule="auto"/>
        <w:ind w:firstLine="1440"/>
        <w:jc w:val="both"/>
      </w:pPr>
      <w:r>
        <w:t xml:space="preserve">(1)</w:t>
      </w:r>
      <w:r xml:space="preserve">
        <w:t> </w:t>
      </w:r>
      <w:r xml:space="preserve">
        <w:t> </w:t>
      </w:r>
      <w:r>
        <w:rPr>
          <w:u w:val="single"/>
        </w:rPr>
        <w:t xml:space="preserve">60</w:t>
      </w:r>
      <w:r>
        <w:t xml:space="preserve"> [</w:t>
      </w:r>
      <w:r>
        <w:rPr>
          <w:strike/>
        </w:rPr>
        <w:t xml:space="preserve">90</w:t>
      </w:r>
      <w:r>
        <w:t xml:space="preserve">] days from the commencement of </w:t>
      </w:r>
      <w:r>
        <w:rPr>
          <w:u w:val="single"/>
        </w:rPr>
        <w:t xml:space="preserve">the</w:t>
      </w:r>
      <w:r>
        <w:t xml:space="preserve"> [</w:t>
      </w:r>
      <w:r>
        <w:rPr>
          <w:strike/>
        </w:rPr>
        <w:t xml:space="preserve">his</w:t>
      </w:r>
      <w:r>
        <w:t xml:space="preserve">] detention if </w:t>
      </w:r>
      <w:r>
        <w:rPr>
          <w:u w:val="single"/>
        </w:rPr>
        <w:t xml:space="preserve">the defendant</w:t>
      </w:r>
      <w:r>
        <w:t xml:space="preserve"> [</w:t>
      </w:r>
      <w:r>
        <w:rPr>
          <w:strike/>
        </w:rPr>
        <w:t xml:space="preserve">he</w:t>
      </w:r>
      <w:r>
        <w:t xml:space="preserve">] is accused of a felony;</w:t>
      </w:r>
    </w:p>
    <w:p w:rsidR="003F3435" w:rsidRDefault="0032493E">
      <w:pPr>
        <w:spacing w:line="480" w:lineRule="auto"/>
        <w:ind w:firstLine="1440"/>
        <w:jc w:val="both"/>
      </w:pPr>
      <w:r>
        <w:t xml:space="preserve">(2)</w:t>
      </w:r>
      <w:r xml:space="preserve">
        <w:t> </w:t>
      </w:r>
      <w:r xml:space="preserve">
        <w:t> </w:t>
      </w:r>
      <w:r>
        <w:rPr>
          <w:u w:val="single"/>
        </w:rPr>
        <w:t xml:space="preserve">10</w:t>
      </w:r>
      <w:r>
        <w:t xml:space="preserve"> [</w:t>
      </w:r>
      <w:r>
        <w:rPr>
          <w:strike/>
        </w:rPr>
        <w:t xml:space="preserve">30</w:t>
      </w:r>
      <w:r>
        <w:t xml:space="preserve">] days from the commencement of </w:t>
      </w:r>
      <w:r>
        <w:rPr>
          <w:u w:val="single"/>
        </w:rPr>
        <w:t xml:space="preserve">the</w:t>
      </w:r>
      <w:r>
        <w:t xml:space="preserve"> [</w:t>
      </w:r>
      <w:r>
        <w:rPr>
          <w:strike/>
        </w:rPr>
        <w:t xml:space="preserve">his</w:t>
      </w:r>
      <w:r>
        <w:t xml:space="preserve">] detention if </w:t>
      </w:r>
      <w:r>
        <w:rPr>
          <w:u w:val="single"/>
        </w:rPr>
        <w:t xml:space="preserve">the defendant</w:t>
      </w:r>
      <w:r>
        <w:t xml:space="preserve"> [</w:t>
      </w:r>
      <w:r>
        <w:rPr>
          <w:strike/>
        </w:rPr>
        <w:t xml:space="preserve">he</w:t>
      </w:r>
      <w:r>
        <w:t xml:space="preserve">] is accused of a misdemeanor punishable by a sentence of imprisonment in jail for more than 180 days;</w:t>
      </w:r>
    </w:p>
    <w:p w:rsidR="003F3435" w:rsidRDefault="0032493E">
      <w:pPr>
        <w:spacing w:line="480" w:lineRule="auto"/>
        <w:ind w:firstLine="1440"/>
        <w:jc w:val="both"/>
      </w:pPr>
      <w:r>
        <w:t xml:space="preserve">(3)</w:t>
      </w:r>
      <w:r xml:space="preserve">
        <w:t> </w:t>
      </w:r>
      <w:r xml:space="preserve">
        <w:t> </w:t>
      </w:r>
      <w:r>
        <w:rPr>
          <w:u w:val="single"/>
        </w:rPr>
        <w:t xml:space="preserve">five</w:t>
      </w:r>
      <w:r>
        <w:t xml:space="preserve"> [</w:t>
      </w:r>
      <w:r>
        <w:rPr>
          <w:strike/>
        </w:rPr>
        <w:t xml:space="preserve">15</w:t>
      </w:r>
      <w:r>
        <w:t xml:space="preserve">] days from the commencement of </w:t>
      </w:r>
      <w:r>
        <w:rPr>
          <w:u w:val="single"/>
        </w:rPr>
        <w:t xml:space="preserve">the</w:t>
      </w:r>
      <w:r>
        <w:t xml:space="preserve"> [</w:t>
      </w:r>
      <w:r>
        <w:rPr>
          <w:strike/>
        </w:rPr>
        <w:t xml:space="preserve">his</w:t>
      </w:r>
      <w:r>
        <w:t xml:space="preserve">] detention if </w:t>
      </w:r>
      <w:r>
        <w:rPr>
          <w:u w:val="single"/>
        </w:rPr>
        <w:t xml:space="preserve">the defendant</w:t>
      </w:r>
      <w:r>
        <w:t xml:space="preserve"> [</w:t>
      </w:r>
      <w:r>
        <w:rPr>
          <w:strike/>
        </w:rPr>
        <w:t xml:space="preserve">he</w:t>
      </w:r>
      <w:r>
        <w:t xml:space="preserve">] is accused of a misdemeanor punishable by a sentence of imprisonment for 180 days or less; or</w:t>
      </w:r>
    </w:p>
    <w:p w:rsidR="003F3435" w:rsidRDefault="0032493E">
      <w:pPr>
        <w:spacing w:line="480" w:lineRule="auto"/>
        <w:ind w:firstLine="1440"/>
        <w:jc w:val="both"/>
      </w:pPr>
      <w:r>
        <w:t xml:space="preserve">(4)</w:t>
      </w:r>
      <w:r xml:space="preserve">
        <w:t> </w:t>
      </w:r>
      <w:r xml:space="preserve">
        <w:t> </w:t>
      </w:r>
      <w:r>
        <w:rPr>
          <w:u w:val="single"/>
        </w:rPr>
        <w:t xml:space="preserve">three</w:t>
      </w:r>
      <w:r>
        <w:t xml:space="preserve"> [</w:t>
      </w:r>
      <w:r>
        <w:rPr>
          <w:strike/>
        </w:rPr>
        <w:t xml:space="preserve">five</w:t>
      </w:r>
      <w:r>
        <w:t xml:space="preserve">] days from the commencement of </w:t>
      </w:r>
      <w:r>
        <w:rPr>
          <w:u w:val="single"/>
        </w:rPr>
        <w:t xml:space="preserve">the</w:t>
      </w:r>
      <w:r>
        <w:t xml:space="preserve"> [</w:t>
      </w:r>
      <w:r>
        <w:rPr>
          <w:strike/>
        </w:rPr>
        <w:t xml:space="preserve">his</w:t>
      </w:r>
      <w:r>
        <w:t xml:space="preserve">] detention if </w:t>
      </w:r>
      <w:r>
        <w:rPr>
          <w:u w:val="single"/>
        </w:rPr>
        <w:t xml:space="preserve">the defendant</w:t>
      </w:r>
      <w:r>
        <w:t xml:space="preserve"> [</w:t>
      </w:r>
      <w:r>
        <w:rPr>
          <w:strike/>
        </w:rPr>
        <w:t xml:space="preserve">he</w:t>
      </w:r>
      <w:r>
        <w:t xml:space="preserve">] is accused of a misdemeanor punishable by a fine only.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