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87S10320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Dominguez</w:t>
      </w:r>
      <w:r xml:space="preserve">
        <w:tab wTab="150" tlc="none" cTlc="0"/>
      </w:r>
      <w:r>
        <w:t xml:space="preserve">H.B.</w:t>
      </w:r>
      <w:r xml:space="preserve">
        <w:t> </w:t>
      </w:r>
      <w:r>
        <w:t xml:space="preserve">No.</w:t>
      </w:r>
      <w:r xml:space="preserve">
        <w:t> </w:t>
      </w:r>
      <w:r>
        <w:t xml:space="preserve">215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funding for school districts to provide inclusive and accessible playgrounds.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38.039.</w:t>
      </w:r>
      <w:r>
        <w:rPr>
          <w:u w:val="single"/>
        </w:rPr>
        <w:t xml:space="preserve"> </w:t>
      </w:r>
      <w:r>
        <w:rPr>
          <w:u w:val="single"/>
        </w:rPr>
        <w:t xml:space="preserve"> </w:t>
      </w:r>
      <w:r>
        <w:rPr>
          <w:u w:val="single"/>
        </w:rPr>
        <w:t xml:space="preserve">INCLUSIVE AND ACCESSIBLE PLAYGROUNDS.  From funds appropriated for the purpose or any other available funds, the commissioner shall distribute funds to each school district to provide at least one playground in the district that is inclusive and accessible for students with disabilities.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2022-2023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