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228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for recording activity at a ballot counting station.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65, Election Code, is amended by adding Section 65.017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65.017.</w:t>
      </w:r>
      <w:r>
        <w:rPr>
          <w:u w:val="single"/>
        </w:rPr>
        <w:t xml:space="preserve"> </w:t>
      </w:r>
      <w:r>
        <w:rPr>
          <w:u w:val="single"/>
        </w:rPr>
        <w:t xml:space="preserve"> </w:t>
      </w:r>
      <w:r>
        <w:rPr>
          <w:u w:val="single"/>
        </w:rPr>
        <w:t xml:space="preserve">VIDEO RECORDING OF BALLOT COUNTING.  (a)  The secretary of state shall establish a pilot program requiring a county to use a video recording device to record ballot counting activity in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select six counties to take part in the pilot program, including:</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two counties with a population of not less than 500,000;</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two counties with a population of not less than 50,000 and not more than 100,000; and</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two counties with a population of not more than 5,000.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adopt procedures to implement this section, including procedures to determine which counties may participate in the pilot program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operate the pilot program established under this section until January 31, 2023.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January 31, 2023, the secretary of state shall file a report with the legislature.  The report must state:</w:t>
      </w:r>
    </w:p>
    <w:p w:rsidR="003F3435" w:rsidRDefault="0032493E">
      <w:pPr>
        <w:spacing w:line="480" w:lineRule="auto"/>
        <w:ind w:firstLine="720"/>
        <w:jc w:val="both"/>
      </w:pPr>
      <w:r>
        <w:rPr>
          <w:u w:val="single"/>
        </w:rPr>
        <w:t xml:space="preserve">(1) which counties participated in the pilot program;</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the number of precincts that recorded video;</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any best practices for placement and use of the video recording devices, including:</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best angles for visibility;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best distance between device and counting station; and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best devices for clarity; and</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any other information and recommendations considered necessary by the secretary of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January 31,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