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87S10333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biennial report by the Texas Division of Emergency Management regarding building trade services following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418.059.</w:t>
      </w:r>
      <w:r>
        <w:rPr>
          <w:u w:val="single"/>
        </w:rPr>
        <w:t xml:space="preserve"> </w:t>
      </w:r>
      <w:r>
        <w:rPr>
          <w:u w:val="single"/>
        </w:rPr>
        <w:t xml:space="preserve"> </w:t>
      </w:r>
      <w:r>
        <w:rPr>
          <w:u w:val="single"/>
        </w:rPr>
        <w:t xml:space="preserve">REPORT ON  BUILDING TRADE SERVICES FOLLOWING DISASTERS.  (a) Not later than November 1 of each even-numbered year,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and economic impact of tradespeople in communities affected by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using a workforce that has been trained in a United States Department of Labor Industry-Recognized Apprenticeship Program or Registered Apprenticeship Program to increase the availability of tradespeople, including plumbers and electricians,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approaches to increase prosecutions of alleged fraud relating to building trade services offered following a disaster, including wage theft and worker misclassification;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appropriate state entities, including the Texas A&amp;M AgriLife Extension Service and Texas Department of Licensing and Regulation, local governments, trade associations, United States Department of Labor Registered Apprenticeship Programs,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described by Subsection (a) must include the methodology of the contents of the report, including the type and nature of information provided by the entities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