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87S10405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forensic audit of 2020 election results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16, Election Code, is amended by adding Chapter 280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280. FORENSIC AUDIT OF 2020 GENERAL ELECTION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FORENSIC AUDIT OF 2020 GENERAL ELECTION.  (a) The governor, lieutenant governor, and speaker of the house of representatives shall appoint an independent third party to conduct a forensic audit of the general election that took place on November 3, 2020.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independent third party appointed under Subsection (a) shall audit every precinct in each county with a population of   415,000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audit under this section must begin not later than November 1, 2021, and be completed not later than February 1, 2022.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March 1, 2022, the independent third party conducting the audit under this section shall submit a report to the governor, lieutenant governor, speaker of the house of representatives, and each member of the legislature detailing any anomalies or discrepancies in voter data, ballot data, or tabulation.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expires April 1, 2022.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