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87S10483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Zwiener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demand response technology to reduce energy consumption in state-owned buildings.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I, Chapter 2166, Government Code, is amended by adding Section 2166.4021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2166.4021.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DEMAND RESPONSE TECHNOLOGY FOR STATE BUILDINGS.  (a)  The commission by rule shall adopt guidelines for the required use of demand response technology in state-owned buildings, including buildings otherwise exempt from this chapter under Section 2166.003, to reduce energy consumption for the buildings in response to energy supply constraints.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guidelines adopted under Subsection (a) must require the remote reduction of building energy consumption by at least 30 percent during: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weather or energy emergencies;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peak demand days as determined by the independent organization certified under Section 39.151, Utilities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Texas Facilities Commission shall adopt the guidelines required by Section 2166.4021, Government Code, as added by this Act, not later than February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