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87S10833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energy efficiency loan guarantee program under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386.051(b), Health and Safety Code, as effective September 1, 2021,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Texas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Texas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Texas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 [</w:t>
      </w:r>
      <w:r>
        <w:rPr>
          <w:strike/>
        </w:rPr>
        <w:t xml:space="preserve">and</w:t>
      </w:r>
      <w:r>
        <w:t xml:space="preserve">]</w:t>
      </w:r>
    </w:p>
    <w:p w:rsidR="003F3435" w:rsidRDefault="0032493E">
      <w:pPr>
        <w:spacing w:line="480" w:lineRule="auto"/>
        <w:ind w:firstLine="1440"/>
        <w:jc w:val="both"/>
      </w:pPr>
      <w:r>
        <w:t xml:space="preserve">(19)</w:t>
      </w:r>
      <w:r xml:space="preserve">
        <w:t> </w:t>
      </w:r>
      <w:r xml:space="preserve">
        <w:t> </w:t>
      </w:r>
      <w:r>
        <w:t xml:space="preserve">remittance of funds to the state highway fund for use by the Texas Department of Transportation for congestion mitigation and air quality improvement projects in nonattainment areas and affected counties</w:t>
      </w:r>
      <w:r>
        <w:rPr>
          <w:u w:val="single"/>
        </w:rPr>
        <w:t xml:space="preserve">; and</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the energy efficiency loan guarantee program established under Section 388.013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386.252(a), Health and Safety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Money in the fund and account may be used only to implement and administer programs established under the plan.</w:t>
      </w:r>
      <w:r xml:space="preserve">
        <w:t> </w:t>
      </w:r>
      <w:r xml:space="preserve">
        <w:t> </w:t>
      </w:r>
      <w:r>
        <w:t xml:space="preserve">Subject to the reallocation of funds by the commission under Subsection (h) and after remittance to the state highway fund under Subsection (a-1), money from the fund and account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Texas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$16 million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may be used by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at least $1 million and not more than $5 million shall be allocated for the energy efficiency loan guarantee program established under Section 388.013; and</w:t>
      </w:r>
      <w:r xml:space="preserve">
        <w:t> </w:t>
      </w:r>
      <w:r xml:space="preserve">
        <w:t> </w:t>
      </w:r>
    </w:p>
    <w:p w:rsidR="003F3435" w:rsidRDefault="0032493E">
      <w:pPr>
        <w:spacing w:line="480" w:lineRule="auto"/>
        <w:ind w:firstLine="1440"/>
        <w:jc w:val="both"/>
      </w:pPr>
      <w:r>
        <w:rPr>
          <w:u w:val="single"/>
        </w:rPr>
        <w:t xml:space="preserve">(15)</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388, Health and Safety Code, is amended by adding Section 388.013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388.013.</w:t>
      </w:r>
      <w:r>
        <w:rPr>
          <w:u w:val="single"/>
        </w:rPr>
        <w:t xml:space="preserve"> </w:t>
      </w:r>
      <w:r>
        <w:rPr>
          <w:u w:val="single"/>
        </w:rPr>
        <w:t xml:space="preserve"> </w:t>
      </w:r>
      <w:r>
        <w:rPr>
          <w:u w:val="single"/>
        </w:rPr>
        <w:t xml:space="preserve">ENERGY EFFICIENCY LOAN GUARANTEE PROGRAM.  (a)  The comptroller and the State Energy Conservation Office by rule shall establish and administer a program that issues or guarantees loans to be used for improvements that increase the energy efficiency of residences that are not newly constructed.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must establish eligibility requirements for receipt of a loan issued or guaranteed under this section, including emissions reduction cost-effectiveness criteria.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Energy Conservation Office annually shall submit to the commission and the laboratory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effectiveness of the program established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quantifies energy savings and emissions reductions as a result of this program for consideration in the state implementation plan for emissions reduction credit.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389.002, Health and Safety Code, is amended to read as follows:</w:t>
      </w:r>
    </w:p>
    <w:p w:rsidR="003F3435" w:rsidRDefault="0032493E">
      <w:pPr>
        <w:spacing w:line="480" w:lineRule="auto"/>
        <w:ind w:firstLine="720"/>
        <w:jc w:val="both"/>
      </w:pPr>
      <w:r>
        <w:t xml:space="preserve">Sec.</w:t>
      </w:r>
      <w:r xml:space="preserve">
        <w:t> </w:t>
      </w:r>
      <w:r>
        <w:t xml:space="preserve">389.002.</w:t>
      </w:r>
      <w:r xml:space="preserve">
        <w:t> </w:t>
      </w:r>
      <w:r xml:space="preserve">
        <w:t> </w:t>
      </w:r>
      <w:r>
        <w:t xml:space="preserve">USE OF CERTAIN INFORMATION FOR FEDERAL RECOGNITION OF EMISSIONS REDUCTIONS.  The commission, using information derived from the reports to the commission under Sections 386.205, 388.003(e), [</w:t>
      </w:r>
      <w:r>
        <w:rPr>
          <w:strike/>
        </w:rPr>
        <w:t xml:space="preserve">and</w:t>
      </w:r>
      <w:r>
        <w:t xml:space="preserve">] 388.006, </w:t>
      </w:r>
      <w:r>
        <w:rPr>
          <w:u w:val="single"/>
        </w:rPr>
        <w:t xml:space="preserve">and 388.013,</w:t>
      </w:r>
      <w:r>
        <w:t xml:space="preserve"> shall take all appropriate and necessary actions so that emissions reductions achieved by means of activities under Chapters 386 and 388 are credited by the United States Environmental Protection Agency to the appropriate emissions reduction objectives in the state implementation plan.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