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87S10793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constructed on</w:t>
      </w:r>
      <w:r>
        <w:t xml:space="preserve"> [</w:t>
      </w:r>
      <w:r>
        <w:rPr>
          <w:strike/>
        </w:rPr>
        <w:t xml:space="preserve">removed, relocated, or altered in a manner otherwise provided by this code as necessary to accommodate construction, repair, or improvements to the monument or memorial or to</w:t>
      </w:r>
      <w:r>
        <w:t xml:space="preserve">] the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existing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2166, Government Code, is amended by adding Section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  A resident of this state may file a complaint with the attorney general if the resident asserts facts supporting an allegation that an entity has violated Section 2166.5011(b).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suspected of violating Section 2166.5011(b) to comply with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found by a court to have intentionally violated Section 2166.5011(b)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constructed on the surrounding municipal or county property on which a monument or memorial is located to complement or contrast with the existing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  A resident of a municipality or county, as applicable, may file a complaint with the attorney general if the resident asserts facts supporting an allegation that the municipality or county has violated Section 338.002.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