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87S10687 SCL-D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Leach</w:t>
      </w:r>
      <w:r xml:space="preserve">
        <w:tab wTab="150" tlc="none" cTlc="0"/>
      </w:r>
      <w:r>
        <w:t xml:space="preserve">H.B.</w:t>
      </w:r>
      <w:r xml:space="preserve">
        <w:t> </w:t>
      </w:r>
      <w:r>
        <w:t xml:space="preserve">No.</w:t>
      </w:r>
      <w:r xml:space="preserve">
        <w:t> </w:t>
      </w:r>
      <w:r>
        <w:t xml:space="preserve">254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severance pay for political subdivision employees and independent contractors.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180, Local Government Code, is amended by adding Section 180.010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180.010.</w:t>
      </w:r>
      <w:r>
        <w:rPr>
          <w:u w:val="single"/>
        </w:rPr>
        <w:t xml:space="preserve"> </w:t>
      </w:r>
      <w:r>
        <w:rPr>
          <w:u w:val="single"/>
        </w:rPr>
        <w:t xml:space="preserve"> </w:t>
      </w:r>
      <w:r>
        <w:rPr>
          <w:u w:val="single"/>
        </w:rPr>
        <w:t xml:space="preserve">LIMITATION ON SEVERANCE PAY FOR EMPLOYEES AND INDEPENDENT CONTRACTORS.  (a)  In this section, "misconduct" means an act or omission by an employee or contractor of a political subdivision in the performance of the employee's or contractor's duties that the governing body of the political subdivision determines to be misconduct. The term includes any finding of criminal conduct.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applies to an action brought against a political subdivision by an employee or independent contractor of the political subdivision arising from the termination of the person's employment or contract. A court may not issue a writ of execution or mandamus in connection with a judgment in the action if the judgment does not comply with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does not apply to a public or teaching hospital.</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political subdivision may not, as part of a severance package or as part of any other agreement or settlement made in relation to the termination of a person's employment or contract as an independent contractor, make a payment to an employee or independent contractor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payment would: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be paid from tax revenue;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exceed the amount of compensation, at the rate at the termination of employment or the contract, the employee or independent contractor would have been paid for 20 weeks, excluding paid time off or accrued vacation leave;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employee or independent contractor was terminated for misconduct.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political subdivision shall post each severance agreement in a prominent place on the political subdivision's Internet website.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180.010, Local Government Code, as added by this Act, applies only to a contract entered into or an action filed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254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