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instruction at a public school and the satisfaction of teacher certification requirements through an internship teaching certain virtual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 include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parents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evaluating under Chapter 39 the performance of a school district or open-enrollment charter school that operates a full-time local remote learning program, the commissioner shall evaluate the performance of students enrolled in the program separately from other district or school students.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The commissioner may waive this subsection on application by a school district or open-enrollment charter school.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full-time virtual program described by Subsection (d) may not exceed the program's enrollment level for the 2020-2021 school year during any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w:t>
      </w:r>
      <w:r>
        <w:t xml:space="preserve">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